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EUTBV — Gegenstand und Höhe des Zuschusses pro Vollzeitäquivalent</w:t>
      </w:r>
    </w:p>
    <w:p>
      <w:r>
        <w:rPr>
          <w:color w:val="555555"/>
          <w:sz w:val="18"/>
        </w:rPr>
        <w:t xml:space="preserve">Teilhabeberatungsverordnung</w:t>
      </w:r>
    </w:p>
    <w:p>
      <w:r>
        <w:rPr>
          <w:color w:val="555555"/>
          <w:sz w:val="18"/>
        </w:rPr>
        <w:t xml:space="preserve">Stand: 29.02.2024 (konsolidierte Textfassung, kein amtliches Inkrafttretensdatum)</w:t>
      </w:r>
    </w:p>
    <w:p>
      <w:r>
        <w:t xml:space="preserve">Der Zuschuss wird für Personal- und Sachausgaben gewährt. Er ist auf jährlich 110 000 Euro pro Vollzeitäquivalent begrenzt.</w:t>
      </w:r>
    </w:p>
    <w:p>
      <w:r>
        <w:rPr>
          <w:color w:val="555555"/>
          <w:sz w:val="17"/>
        </w:rPr>
        <w:t xml:space="preserve">Zitiervorschlag: § 4 EUTBV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https://recht.nulegal.eu/gesetze/EUTBV/4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