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EUTBV — Finanzierung der Beratungsangebote, Verteilungsschlüssel</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Wird die Anzahl der dem Gebiet eines Landes zugeordneten Vollzeitäquivalente nicht ausgeschöpft, ist den antragstellenden Trägern der Beratungsangebote, die die Voraussetzungen nach § 8 erfüllen, ein Zuschuss zu gewähren.</w:t>
      </w:r>
    </w:p>
    <w:p>
      <w:r>
        <w:t xml:space="preserve">(2) Die Vollzeitäquivalente verteilen sich wie folgt:</w:t>
      </w:r>
    </w:p>
    <w:p>
      <w:r>
        <w:rPr>
          <w:rFonts w:ascii="Courier New" w:hAnsi="Courier New"/>
          <w:sz w:val="17"/>
        </w:rPr>
        <w:t xml:space="preserve">Land    Vollzeit-äquivalente</w:t>
      </w:r>
    </w:p>
    <w:p>
      <w:r>
        <w:rPr>
          <w:rFonts w:ascii="Courier New" w:hAnsi="Courier New"/>
          <w:sz w:val="17"/>
        </w:rPr>
        <w:t xml:space="preserve">Baden-Württemberg    76,2</w:t>
      </w:r>
    </w:p>
    <w:p>
      <w:r>
        <w:rPr>
          <w:rFonts w:ascii="Courier New" w:hAnsi="Courier New"/>
          <w:sz w:val="17"/>
        </w:rPr>
        <w:t xml:space="preserve">Bayern    102,1</w:t>
      </w:r>
    </w:p>
    <w:p>
      <w:r>
        <w:rPr>
          <w:rFonts w:ascii="Courier New" w:hAnsi="Courier New"/>
          <w:sz w:val="17"/>
        </w:rPr>
        <w:t xml:space="preserve">Berlin    20,5</w:t>
      </w:r>
    </w:p>
    <w:p>
      <w:r>
        <w:rPr>
          <w:rFonts w:ascii="Courier New" w:hAnsi="Courier New"/>
          <w:sz w:val="17"/>
        </w:rPr>
        <w:t xml:space="preserve">Brandenburg    26,5</w:t>
      </w:r>
    </w:p>
    <w:p>
      <w:r>
        <w:rPr>
          <w:rFonts w:ascii="Courier New" w:hAnsi="Courier New"/>
          <w:sz w:val="17"/>
        </w:rPr>
        <w:t xml:space="preserve">Bremen    3,9</w:t>
      </w:r>
    </w:p>
    <w:p>
      <w:r>
        <w:rPr>
          <w:rFonts w:ascii="Courier New" w:hAnsi="Courier New"/>
          <w:sz w:val="17"/>
        </w:rPr>
        <w:t xml:space="preserve">Hamburg    10,5</w:t>
      </w:r>
    </w:p>
    <w:p>
      <w:r>
        <w:rPr>
          <w:rFonts w:ascii="Courier New" w:hAnsi="Courier New"/>
          <w:sz w:val="17"/>
        </w:rPr>
        <w:t xml:space="preserve">Hessen    43,5</w:t>
      </w:r>
    </w:p>
    <w:p>
      <w:r>
        <w:rPr>
          <w:rFonts w:ascii="Courier New" w:hAnsi="Courier New"/>
          <w:sz w:val="17"/>
        </w:rPr>
        <w:t xml:space="preserve">Mecklenburg-Vorpommern    18,8</w:t>
      </w:r>
    </w:p>
    <w:p>
      <w:r>
        <w:rPr>
          <w:rFonts w:ascii="Courier New" w:hAnsi="Courier New"/>
          <w:sz w:val="17"/>
        </w:rPr>
        <w:t xml:space="preserve">Niedersachsen    64,3</w:t>
      </w:r>
    </w:p>
    <w:p>
      <w:r>
        <w:rPr>
          <w:rFonts w:ascii="Courier New" w:hAnsi="Courier New"/>
          <w:sz w:val="17"/>
        </w:rPr>
        <w:t xml:space="preserve">Nordrhein-Westfalen    113,4</w:t>
      </w:r>
    </w:p>
    <w:p>
      <w:r>
        <w:rPr>
          <w:rFonts w:ascii="Courier New" w:hAnsi="Courier New"/>
          <w:sz w:val="17"/>
        </w:rPr>
        <w:t xml:space="preserve">Rheinland-Pfalz    31,0</w:t>
      </w:r>
    </w:p>
    <w:p>
      <w:r>
        <w:rPr>
          <w:rFonts w:ascii="Courier New" w:hAnsi="Courier New"/>
          <w:sz w:val="17"/>
        </w:rPr>
        <w:t xml:space="preserve">Saarland    6,6</w:t>
      </w:r>
    </w:p>
    <w:p>
      <w:r>
        <w:rPr>
          <w:rFonts w:ascii="Courier New" w:hAnsi="Courier New"/>
          <w:sz w:val="17"/>
        </w:rPr>
        <w:t xml:space="preserve">Sachsen    30,3</w:t>
      </w:r>
    </w:p>
    <w:p>
      <w:r>
        <w:rPr>
          <w:rFonts w:ascii="Courier New" w:hAnsi="Courier New"/>
          <w:sz w:val="17"/>
        </w:rPr>
        <w:t xml:space="preserve">Sachsen-Anhalt    20,9</w:t>
      </w:r>
    </w:p>
    <w:p>
      <w:r>
        <w:rPr>
          <w:rFonts w:ascii="Courier New" w:hAnsi="Courier New"/>
          <w:sz w:val="17"/>
        </w:rPr>
        <w:t xml:space="preserve">Schleswig-Holstein    22,7</w:t>
      </w:r>
    </w:p>
    <w:p>
      <w:r>
        <w:rPr>
          <w:rFonts w:ascii="Courier New" w:hAnsi="Courier New"/>
          <w:sz w:val="17"/>
        </w:rPr>
        <w:t xml:space="preserve">Thüringen    18,7</w:t>
      </w:r>
    </w:p>
    <w:p>
      <w:r>
        <w:t xml:space="preserve">(3) Der Zuschuss wird abweichend von Absatz 1 nicht gewährt, wenn dadurch ein regionales Überangebot entsteht. Ein regionales Überangebot liegt vor, wenn der für das Land errechnete Referenzwert pro zu bewilligendem Vollzeitäquivalent die Einwohnerzahl des betreffenden Landkreises, der betreffenden kreisfreien Stadt oder des Bezirkes der Stadtstaaten pro zu bewilligendem Vollzeitäquivalent überschreitet.</w:t>
      </w:r>
    </w:p>
    <w:p>
      <w:r>
        <w:rPr>
          <w:rFonts w:ascii="Courier New" w:hAnsi="Courier New"/>
          <w:sz w:val="17"/>
        </w:rPr>
        <w:t xml:space="preserve">Land    Referenz-wert</w:t>
      </w:r>
    </w:p>
    <w:p>
      <w:r>
        <w:rPr>
          <w:rFonts w:ascii="Courier New" w:hAnsi="Courier New"/>
          <w:sz w:val="17"/>
        </w:rPr>
        <w:t xml:space="preserve">Baden-Württemberg    145 179</w:t>
      </w:r>
    </w:p>
    <w:p>
      <w:r>
        <w:rPr>
          <w:rFonts w:ascii="Courier New" w:hAnsi="Courier New"/>
          <w:sz w:val="17"/>
        </w:rPr>
        <w:t xml:space="preserve">Bayern    128 019</w:t>
      </w:r>
    </w:p>
    <w:p>
      <w:r>
        <w:rPr>
          <w:rFonts w:ascii="Courier New" w:hAnsi="Courier New"/>
          <w:sz w:val="17"/>
        </w:rPr>
        <w:t xml:space="preserve">Berlin    178 093</w:t>
      </w:r>
    </w:p>
    <w:p>
      <w:r>
        <w:rPr>
          <w:rFonts w:ascii="Courier New" w:hAnsi="Courier New"/>
          <w:sz w:val="17"/>
        </w:rPr>
        <w:t xml:space="preserve">Brandenburg    94 827</w:t>
      </w:r>
    </w:p>
    <w:p>
      <w:r>
        <w:rPr>
          <w:rFonts w:ascii="Courier New" w:hAnsi="Courier New"/>
          <w:sz w:val="17"/>
        </w:rPr>
        <w:t xml:space="preserve">Bremen    173 231</w:t>
      </w:r>
    </w:p>
    <w:p>
      <w:r>
        <w:rPr>
          <w:rFonts w:ascii="Courier New" w:hAnsi="Courier New"/>
          <w:sz w:val="17"/>
        </w:rPr>
        <w:t xml:space="preserve">Hamburg    175 881</w:t>
      </w:r>
    </w:p>
    <w:p>
      <w:r>
        <w:rPr>
          <w:rFonts w:ascii="Courier New" w:hAnsi="Courier New"/>
          <w:sz w:val="17"/>
        </w:rPr>
        <w:t xml:space="preserve">Hessen    143 927</w:t>
      </w:r>
    </w:p>
    <w:p>
      <w:r>
        <w:rPr>
          <w:rFonts w:ascii="Courier New" w:hAnsi="Courier New"/>
          <w:sz w:val="17"/>
        </w:rPr>
        <w:t xml:space="preserve">Mecklenburg-Vorpommern    85 598</w:t>
      </w:r>
    </w:p>
    <w:p>
      <w:r>
        <w:rPr>
          <w:rFonts w:ascii="Courier New" w:hAnsi="Courier New"/>
          <w:sz w:val="17"/>
        </w:rPr>
        <w:t xml:space="preserve">Niedersachsen    124 074</w:t>
      </w:r>
    </w:p>
    <w:p>
      <w:r>
        <w:rPr>
          <w:rFonts w:ascii="Courier New" w:hAnsi="Courier New"/>
          <w:sz w:val="17"/>
        </w:rPr>
        <w:t xml:space="preserve">Nordrhein-Westfalen    158 177</w:t>
      </w:r>
    </w:p>
    <w:p>
      <w:r>
        <w:rPr>
          <w:rFonts w:ascii="Courier New" w:hAnsi="Courier New"/>
          <w:sz w:val="17"/>
        </w:rPr>
        <w:t xml:space="preserve">Rheinland-Pfalz    131 856</w:t>
      </w:r>
    </w:p>
    <w:p>
      <w:r>
        <w:rPr>
          <w:rFonts w:ascii="Courier New" w:hAnsi="Courier New"/>
          <w:sz w:val="17"/>
        </w:rPr>
        <w:t xml:space="preserve">Saarland    151 108</w:t>
      </w:r>
    </w:p>
    <w:p>
      <w:r>
        <w:rPr>
          <w:rFonts w:ascii="Courier New" w:hAnsi="Courier New"/>
          <w:sz w:val="17"/>
        </w:rPr>
        <w:t xml:space="preserve">Sachsen    134 403</w:t>
      </w:r>
    </w:p>
    <w:p>
      <w:r>
        <w:rPr>
          <w:rFonts w:ascii="Courier New" w:hAnsi="Courier New"/>
          <w:sz w:val="17"/>
        </w:rPr>
        <w:t xml:space="preserve">Sachsen-Anhalt    105 698</w:t>
      </w:r>
    </w:p>
    <w:p>
      <w:r>
        <w:rPr>
          <w:rFonts w:ascii="Courier New" w:hAnsi="Courier New"/>
          <w:sz w:val="17"/>
        </w:rPr>
        <w:t xml:space="preserve">Schleswig-Holstein    127 590</w:t>
      </w:r>
    </w:p>
    <w:p>
      <w:r>
        <w:rPr>
          <w:rFonts w:ascii="Courier New" w:hAnsi="Courier New"/>
          <w:sz w:val="17"/>
        </w:rPr>
        <w:t xml:space="preserve">Thüringen    114 482</w:t>
      </w:r>
    </w:p>
    <w:p>
      <w:r>
        <w:t xml:space="preserve">(4) Der Zuschuss pro Beratungsangebot umfasst mindestens ein Vollzeitäquivalent und ist auf maximal drei Vollzeitäquivalente begrenzt. Ein Vollzeitäquivalent entspricht einer wöchentlichen Arbeitszeit von 39 Stunden.</w:t>
      </w:r>
    </w:p>
    <w:p>
      <w:r>
        <w:rPr>
          <w:color w:val="555555"/>
          <w:sz w:val="17"/>
        </w:rPr>
        <w:t xml:space="preserve">Zitiervorschlag: § 3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