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EUTBV — Dauer und Zeitraum der Bewilligungsperiode</w:t>
      </w:r>
    </w:p>
    <w:p>
      <w:r>
        <w:rPr>
          <w:color w:val="555555"/>
          <w:sz w:val="18"/>
        </w:rPr>
        <w:t xml:space="preserve">Teilhabeberatungsverordnung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erste Bewilligung von Zuschüssen nach dieser Verordnung erfolgt zum 1. Januar 2023.</w:t>
      </w:r>
    </w:p>
    <w:p>
      <w:r>
        <w:t xml:space="preserve">(2) Die Finanzierung erfolgt jeweils für die Dauer einer Bewilligungsperiode von sieben Jahren. Die erste Bewilligungsperiode endet mit Ablauf des 31. Dezember 2029.</w:t>
      </w:r>
    </w:p>
    <w:p>
      <w:r>
        <w:rPr>
          <w:color w:val="555555"/>
          <w:sz w:val="17"/>
        </w:rPr>
        <w:t xml:space="preserve">Zitiervorschlag: § 12 EUTBV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