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EUStVBIAV (Brandenburg) — Inkrafttreten</w:t>
      </w:r>
    </w:p>
    <w:p>
      <w:r>
        <w:rPr>
          <w:color w:val="555555"/>
          <w:sz w:val="18"/>
        </w:rPr>
        <w:t xml:space="preserve">EU-Strafverfolgungsbehörden-Informationsaustausch-Verordnung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tritt am 9. März 2026 in Kraft.</w:t>
      </w:r>
    </w:p>
    <w:p>
      <w:r>
        <w:t xml:space="preserve">Potsdam, den 27. Februar 2026</w:t>
      </w:r>
    </w:p>
    <w:p>
      <w:r>
        <w:t xml:space="preserve">Der Minister des Innern und für Kommunales</w:t>
      </w:r>
    </w:p>
    <w:p>
      <w:r>
        <w:t xml:space="preserve">René Wilke</w:t>
      </w:r>
    </w:p>
    <w:p>
      <w:r>
        <w:t xml:space="preserve">*) Diese Verordnung dient der Umsetzung der Richtlinie (EU) 2023/977 des Europäischen Parlaments und des Rates über den Informationsaustausch zwischen den Strafverfolgungsbehörden der Mitgliedsstaaten und zur Aufhebung des Rahmenbeschlusses 2006/960/JI des Rates (ABl. L 134 vom 22.5.2023, S. 1)</w:t>
      </w:r>
    </w:p>
    <w:p>
      <w:r>
        <w:rPr>
          <w:color w:val="555555"/>
          <w:sz w:val="17"/>
        </w:rPr>
        <w:t xml:space="preserve">Zitiervorschlag: § 7 EUStVBIAV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https://recht.nulegal.eu/gesetze/EUStVBIAV/7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