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EUStVBIAV (Brandenburg) — Zustimmung und EUROPOL</w:t>
      </w:r>
    </w:p>
    <w:p>
      <w:r>
        <w:rPr>
          <w:color w:val="555555"/>
          <w:sz w:val="18"/>
        </w:rPr>
        <w:t xml:space="preserve">EU-Strafverfolgungsbehörden-Informationsaustausch-Verordnung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Werden Informationen, einschließlich personenbezogener Daten, von einem anderen EU-Mitgliedstaat oder von einem Drittstaat übermittelt, dürfen diese Informationen an einen anderen EU-Mitgliedstaat, an Europol oder sonstige Stellen nur weitergegeben werden, wenn der Staat, der die Informationen ursprünglich bereitgestellt hat, der Weitergabe zuvor zugestimmt hat. Bei der Weitergabe sind die von diesem Staat festgelegten Voraussetzungen für die Verwendung der Informationen einzuhalten.</w:t>
      </w:r>
    </w:p>
    <w:p>
      <w:r>
        <w:t xml:space="preserve">(2) Bei einem Informationsaustausch nach den §§ 2 und 3 ist zu prüfen, ob es erforderlich ist, eine Kopie des Informationsersuchens oder der bereitgestellten Informationen an Europol zu übermitteln, soweit die Informationen, auf die sich die Mitteilung bezieht, Straftaten betreffen, die gemäß Artikel 3 der Verordnung (EU) 2016/794 unter die Ziele von Europol fallen.</w:t>
      </w:r>
    </w:p>
    <w:p>
      <w:r>
        <w:t xml:space="preserve">(3) Im Fall der Übermittlung einer Kopie nach Absatz 2 sind Europol die Zwecke der Verarbeitung der Informationen und etwaige Einschränkungen dieser Verarbeitung gemäß Artikel 19 der Verordnung (EU) 2016/794 ordnungsgemäß mitzuteilen.</w:t>
      </w:r>
    </w:p>
    <w:p>
      <w:r>
        <w:rPr>
          <w:color w:val="555555"/>
          <w:sz w:val="17"/>
        </w:rPr>
        <w:t xml:space="preserve">Zitiervorschlag: § 6 EUStVBIAV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https://recht.nulegal.eu/gesetze/EUStVBIAV/6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