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EUStVBIAV (Brandenburg) — Übermittlung personenbezogener Daten</w:t>
      </w:r>
    </w:p>
    <w:p>
      <w:r>
        <w:rPr>
          <w:color w:val="555555"/>
          <w:sz w:val="18"/>
        </w:rPr>
        <w:t xml:space="preserve">EU-Strafverfolgungsbehörden-Informationsaustausch-Verordnung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Sofern die Datenübermittlung nach den §§ 2 und 3 personenbezogene Daten betrifft, ist die Übermittlung auf diejenigen Kategorien personenbezogener Daten zu beschränken, die nach dem Anhang II Abschnitt B der Verordnung (EU) 2016/794 für die jeweiligen Kategorien der betroffenen Personen aufgeführt sind. Zudem ist die Übermittlung nur zulässig, soweit sie für das Erreichen des Ziels des Ersuchens erforderlich und verhältnismäßig ist.</w:t>
      </w:r>
    </w:p>
    <w:p>
      <w:r>
        <w:rPr>
          <w:color w:val="555555"/>
          <w:sz w:val="17"/>
        </w:rPr>
        <w:t xml:space="preserve">Zitiervorschlag: § 5 EUStVBIAV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https://recht.nulegal.eu/gesetze/EUStVBIAV/5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