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EUStBV 1993</w:t>
      </w:r>
    </w:p>
    <w:p>
      <w:r>
        <w:rPr>
          <w:color w:val="555555"/>
          <w:sz w:val="18"/>
        </w:rPr>
        <w:t xml:space="preserve">Einfuhrumsatzsteuer-Befreiungsverordnung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3 des Vierzehnten Gesetzes zur Änderung des Zollgesetzes vom 3. August 1973 (BGBl. I S. 933), der durch Artikel 2 Abs. 2 des Gesetzes vom 12. September 1980 (BGBl. I S. 1695) neu gefaßt worden ist, verordnet der Bundesminister der Finanzen:</w:t>
      </w:r>
    </w:p>
    <w:p>
      <w:r>
        <w:rPr>
          <w:color w:val="555555"/>
          <w:sz w:val="17"/>
        </w:rPr>
        <w:t xml:space="preserve">Zitiervorschlag: Eingangsformel EUStBV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https://recht.nulegal.eu/gesetze/EUStBV%201993/eingangsformel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