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EUStBV 1993 — Amtliche Veröffentlichungen, Wahlmaterialien</w:t>
      </w:r>
    </w:p>
    <w:p>
      <w:r>
        <w:rPr>
          <w:color w:val="555555"/>
          <w:sz w:val="18"/>
        </w:rPr>
        <w:t xml:space="preserve">Einfuhrumsatzsteuer-Befreiungsverordnung</w:t>
      </w:r>
    </w:p>
    <w:p>
      <w:r>
        <w:rPr>
          <w:color w:val="555555"/>
          <w:sz w:val="18"/>
        </w:rPr>
        <w:t xml:space="preserve">Stand: 10.06.2019 (konsolidierte Textfassung, kein amtliches Inkrafttretensdatum)</w:t>
      </w:r>
    </w:p>
    <w:p>
      <w:r>
        <w:t xml:space="preserve">Einfuhrumsatzsteuerfrei ist die Einfuhr der amtlichen Veröffentlichungen, mit denen das Ausfuhrland und die dort niedergelassenen Organisationen, öffentlichen Körperschaften und öffentlich-rechtlichen Einrichtungen Maßnahmen öffentlicher Gewalt bekanntmachen, sowie die Einfuhr der Drucksachen, die die in den Mitgliedstaaten der Europäischen Gemeinschaften als solche offiziell anerkannten ausländischen politischen Organisationen anläßlich der Wahlen zum Europäischen Parlament oder anläßlich nationaler Wahlen, die vom Herkunftsland aus organisiert werden, verteilen.</w:t>
      </w:r>
    </w:p>
    <w:p>
      <w:r>
        <w:rPr>
          <w:color w:val="555555"/>
          <w:sz w:val="17"/>
        </w:rPr>
        <w:t xml:space="preserve">Zitiervorschlag: § 9 EUStBV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https://recht.nulegal.eu/gesetze/EUStBV%201993/9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