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EUStBV 1993 — Werbemittel für den Fremdenverkehr</w:t>
      </w:r>
    </w:p>
    <w:p>
      <w:r>
        <w:rPr>
          <w:color w:val="555555"/>
          <w:sz w:val="18"/>
        </w:rPr>
        <w:t xml:space="preserve">Einfuhrumsatzsteuer-Befreiungsverordnung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Einfuhrumsatzsteuerfreiheit für Werbematerial für den Fremdenverkehr (Artikel 108 Buchstabe a und b der in § 1 Abs. 1 genannten Verordnung) gilt auch dann, wenn darin Werbung für in einem Mitgliedstaat der Europäischen Gemeinschaften ansässigen Unternehmen enthalten ist, sofern der Gesamtanteil der Werbung 25 vom Hundert nicht übersteigt.</w:t>
      </w:r>
    </w:p>
    <w:p>
      <w:r>
        <w:rPr>
          <w:color w:val="555555"/>
          <w:sz w:val="17"/>
        </w:rPr>
        <w:t xml:space="preserve">Zitiervorschlag: § 8 EUStBV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https://recht.nulegal.eu/gesetze/EUStBV%201993/8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