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EUStBV 1993 — Werbedrucke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Einfuhrumsatzsteuerfreiheit für Werbedrucke (Artikel 92 Buchstabe b der in § 1 Abs. 1 genannten Verordnung) gilt für Werbedrucke, in denen Dienstleistungen angeboten werden, allgemein, sofern diese Angebote von einer in einem anderen Mitgliedstaat der Europäischen Gemeinschaften ansässigen Person ausgehen.</w:t>
      </w:r>
    </w:p>
    <w:p>
      <w:r>
        <w:t xml:space="preserve">(2) Bei Werbedrucken, die zur kostenlosen Verteilung eingeführt werden, hängt die Steuerfreiheit abweichend von Artikel 93 Buchstabe b und c der in § 1 Abs. 1 genannten Verordnung nur davon ab, daß die in den Drucken enthaltenen Angebote von einer in einem anderen Mitgliedstaat der Europäischen Gemeinschaften ansässigen Person ausgehen.</w:t>
      </w:r>
    </w:p>
    <w:p>
      <w:r>
        <w:rPr>
          <w:color w:val="555555"/>
          <w:sz w:val="17"/>
        </w:rPr>
        <w:t xml:space="preserve">Zitiervorschlag: § 7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