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EUStBV 1993 — Gegenstände erzieherischen, wissenschaftlichen oder kulturellen Charakters</w:t>
      </w:r>
    </w:p>
    <w:p>
      <w:r>
        <w:rPr>
          <w:color w:val="555555"/>
          <w:sz w:val="18"/>
        </w:rPr>
        <w:t xml:space="preserve">Einfuhrumsatzsteuer-Befreiungsverordnung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Einfuhrumsatzsteuerfreiheit für Gegenstände erzieherischen, wissenschaftlichen oder kulturellen Charakters im Sinne der Artikel 50 und 51 der in § 1 Abs. 1 genannten Verordnung ist auf die von den Buchstaben B der Anhänge I und II der Verordnung erfaßten Einfuhren beschränkt. Die Steuerfreiheit für Sammlungsstücke und Kunstgegenstände (Artikel 51 der Verordnung) hängt davon ab, daß die Gegenstände</w:t>
      </w:r>
    </w:p>
    <w:p>
      <w:pPr>
        <w:ind w:left="420"/>
      </w:pPr>
      <w:r>
        <w:t xml:space="preserve">1. unentgeltlich eingeführt werden oder</w:t>
      </w:r>
    </w:p>
    <w:p>
      <w:pPr>
        <w:ind w:left="420"/>
      </w:pPr>
      <w:r>
        <w:t xml:space="preserve">2. nicht von einem Unternehmer geliefert werden; als Lieferer gilt nicht, wer für die begünstigte Einrichtung tätig wird.</w:t>
      </w:r>
    </w:p>
    <w:p>
      <w:r>
        <w:rPr>
          <w:color w:val="555555"/>
          <w:sz w:val="17"/>
        </w:rPr>
        <w:t xml:space="preserve">Zitiervorschlag: § 4 EUStBV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https://recht.nulegal.eu/gesetze/EUStBV%201993/4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