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EUStBV 1993 — Investitionsgüter und andere Ausrüstungsgegenstände</w:t>
      </w:r>
    </w:p>
    <w:p>
      <w:r>
        <w:rPr>
          <w:color w:val="555555"/>
          <w:sz w:val="18"/>
        </w:rPr>
        <w:t xml:space="preserve">Einfuhrumsatzsteuer-Befreiungsverordnung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Einfuhrumsatzsteuerfreiheit für Investitionsgüter und andere Ausrüstungsgegenstände (Artikel 32 bis 38 der in § 1 Abs. 1 genannten Verordnung) ist ausgeschlossen für Gegenstände, die</w:t>
      </w:r>
    </w:p>
    <w:p>
      <w:pPr>
        <w:ind w:left="420"/>
      </w:pPr>
      <w:r>
        <w:t xml:space="preserve">1. ganz oder teilweise zur Ausführung von Umsätzen verwendet werden, die nach § 15 Abs. 2 und 3 des Gesetzes den Vorsteuerabzug ausschließen,</w:t>
      </w:r>
    </w:p>
    <w:p>
      <w:pPr>
        <w:ind w:left="420"/>
      </w:pPr>
      <w:r>
        <w:t xml:space="preserve">2. von einer juristischen Person des öffentlichen Rechts für ihren nichtunternehmerischen Bereich eingeführt werden oder</w:t>
      </w:r>
    </w:p>
    <w:p>
      <w:pPr>
        <w:ind w:left="420"/>
      </w:pPr>
      <w:r>
        <w:t xml:space="preserve">3. von einem Unternehmer eingeführt werden, der die Vorsteuerbeträge nach Durchschnittssätzen (§§ 23 und 24 des Gesetzes) ermittelt.</w:t>
      </w:r>
    </w:p>
    <w:p>
      <w:r>
        <w:rPr>
          <w:color w:val="555555"/>
          <w:sz w:val="17"/>
        </w:rPr>
        <w:t xml:space="preserve">Zitiervorschlag: § 2 EUStBV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https://recht.nulegal.eu/gesetze/EUStBV%201993/2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