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16 EUStBV 1993 — Inkrafttreten, abgelöste Vorschrift</w:t>
      </w:r>
    </w:p>
    <w:p>
      <w:r>
        <w:rPr>
          <w:color w:val="555555"/>
          <w:sz w:val="18"/>
        </w:rPr>
        <w:t xml:space="preserve">Einfuhrumsatzsteuer-Befreiungsverordnung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Diese Verordnung tritt am 1. Januar 1993 in Kraft.</w:t>
      </w:r>
    </w:p>
    <w:p>
      <w:r>
        <w:rPr>
          <w:color w:val="555555"/>
          <w:sz w:val="17"/>
        </w:rPr>
        <w:t xml:space="preserve">Zitiervorschlag: § 16 EUStBV 1993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https://recht.nulegal.eu/gesetze/EUStBV%201993/16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