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EUStBV 1993 — Erstattung oder Erlaß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Einfuhrumsatzsteuer wird erstattet oder erlassen in den in den Artikeln 235 bis 242 Zollkodex bezeichneten Fällen in sinngemäßer Anwendung dieser Vorschriften und der Durchführungsvorschriften dazu.</w:t>
      </w:r>
    </w:p>
    <w:p>
      <w:r>
        <w:t xml:space="preserve">(2) Die Erstattung oder der Erlaß hängt davon ab, daß der Antragsteller hinsichtlich der Gegenstände nicht oder nicht in vollem Umfang nach § 15 Abs. 1 Nr. 2 des Gesetzes zum Vorsteuerabzug berechtigt ist. Satz 1 gilt nicht für die Fälle des Artikels 236 Zollkodex.</w:t>
      </w:r>
    </w:p>
    <w:p>
      <w:r>
        <w:rPr>
          <w:color w:val="555555"/>
          <w:sz w:val="17"/>
        </w:rPr>
        <w:t xml:space="preserve">Zitiervorschlag: § 14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