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EUStBV 1993 — Rückwaren</w:t>
      </w:r>
    </w:p>
    <w:p>
      <w:r>
        <w:rPr>
          <w:color w:val="555555"/>
          <w:sz w:val="18"/>
        </w:rPr>
        <w:t xml:space="preserve">Einfuhrumsatzsteuer-Befreiungsverordnung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Einfuhrumsatzsteuerfreiheit von Rückwaren (Artikel 185 bis 187 Zollkodex) ist ausgeschlossen, wenn der eingeführte Gegenstand</w:t>
      </w:r>
    </w:p>
    <w:p>
      <w:pPr>
        <w:ind w:left="420"/>
      </w:pPr>
      <w:r>
        <w:t xml:space="preserve">1. vor der Einfuhr geliefert worden ist,</w:t>
      </w:r>
    </w:p>
    <w:p>
      <w:pPr>
        <w:ind w:left="420"/>
      </w:pPr>
      <w:r>
        <w:t xml:space="preserve">2. im Rahmen einer steuerfreien Lieferung (§ 4 Nr. 1 des Gesetzes) ausgeführt worden ist oder</w:t>
      </w:r>
    </w:p>
    <w:p>
      <w:pPr>
        <w:ind w:left="420"/>
      </w:pPr>
      <w:r>
        <w:t xml:space="preserve">3. im Rahmen des § 4a des Gesetzes von der Umsatzsteuer entlastet worden ist.</w:t>
      </w:r>
    </w:p>
    <w:p>
      <w:r>
        <w:t xml:space="preserve">Satz 1 Nr. 2 gilt nicht, wenn derjenige, der die Lieferung bewirkt hat, den Gegenstand zurückerhält und hinsichtlich dieses Gegenstandes in vollem Umfang nach § 15 Abs. 1 Nr. 2 des Gesetzes zum Vorsteuerabzug berechtigt ist.</w:t>
      </w:r>
    </w:p>
    <w:p>
      <w:r>
        <w:rPr>
          <w:color w:val="555555"/>
          <w:sz w:val="17"/>
        </w:rPr>
        <w:t xml:space="preserve">Zitiervorschlag: § 12 EUStBV 1993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https://recht.nulegal.eu/gesetze/EUStBV%201993/12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