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EUStBV 1993 — Behältnisse und Verpackungen</w:t>
      </w:r>
    </w:p>
    <w:p>
      <w:r>
        <w:rPr>
          <w:color w:val="555555"/>
          <w:sz w:val="18"/>
        </w:rPr>
        <w:t xml:space="preserve">Einfuhrumsatzsteuer-Befreiungsverordnung</w:t>
      </w:r>
    </w:p>
    <w:p>
      <w:r>
        <w:rPr>
          <w:color w:val="555555"/>
          <w:sz w:val="18"/>
        </w:rPr>
        <w:t xml:space="preserve">Stand: 10.06.2019 (konsolidierte Textfassung, kein amtliches Inkrafttretensdatum)</w:t>
      </w:r>
    </w:p>
    <w:p>
      <w:r>
        <w:t xml:space="preserve">(1) Die Einfuhrumsatzsteuerfreiheit von Verpackungsmitteln (Artikel 110 der in § 1 Abs. 1 genannten Verordnung) hängt davon ab, daß ihr Wert in die Bemessungsgrundlage für die Einfuhr (§ 11 des Gesetzes) einbezogen wird.</w:t>
      </w:r>
    </w:p>
    <w:p>
      <w:r>
        <w:t xml:space="preserve">(2) Die Steuerfreiheit nach Absatz 1 gilt auch für die Einfuhr von Behältnissen und befüllten Verpackungen, wenn sie für die mit ihnen gestellten oder in ihnen verpackten Waren üblich sind oder unabhängig von ihrer Verwendung als Behältnis oder Verpackung keinen dauernden selbständigen Gebrauchswert haben.</w:t>
      </w:r>
    </w:p>
    <w:p>
      <w:r>
        <w:rPr>
          <w:color w:val="555555"/>
          <w:sz w:val="17"/>
        </w:rPr>
        <w:t xml:space="preserve">Zitiervorschlag: § 10 EUStBV 1993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https://recht.nulegal.eu/gesetze/EUStBV%201993/10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