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EUStBV 1993 — Allgemeines</w:t>
      </w:r>
    </w:p>
    <w:p>
      <w:r>
        <w:rPr>
          <w:color w:val="555555"/>
          <w:sz w:val="18"/>
        </w:rPr>
        <w:t xml:space="preserve">Einfuhrumsatzsteuer-Befreiungsverordnung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Einfuhrumsatzsteuerfrei ist, vorbehaltlich der §§ 2 bis 10, die Einfuhr von Gegenständen, die nach Kapitel I und III der Verordnung (EWG) Nr. 918/83 des Rates vom 28. März 1983 über das gemeinschaftliche System der Zollbefreiungen (ABl. EG Nr. L 105 S. 1, Nr. L 274 S. 40, 1984 Nr. L 308 S. 64, 1985 Nr. L 256 S. 47, 1986 Nr. L 271 S. 31), die zuletzt durch die Verordnung (EG) Nr. 274/2008 vom 17. März 2008 (ABl. EU Nr. L 85 S. 1) geändert worden ist, zollfrei eingeführt werden können, in entsprechender Anwendung dieser Vorschriften sowie der Durchführungsvorschriften dazu; ausgenommen sind die Artikel 27 bis 31, 45, 52 bis 59b, 63a und 63b der Verordnung (EWG) Nr. 918/83.</w:t>
      </w:r>
    </w:p>
    <w:p>
      <w:r>
        <w:t xml:space="preserve">(1a) Im Sinne dieser Verordnung gilt als Zollkodex die Verordnung (EWG) Nr. 2913/92 des Rates vom 12. Oktober 1992 zur Festlegung des Zollkodex der Gemeinschaften (ABl. EG Nr. L 302 S. 1, 1993 Nr. L 79 S. 84, 1996 Nr. L 97 S. 387), zuletzt geändert durch die Verordnung (EG) Nr. 2700/2000 des Europäischen Parlaments und des Rates vom 16. November 2000 (ABl. EG Nr. L 311 S. 17), in der jeweils geltenden Fassung. Im Sinne dieser Verordnung gilt als Durchführungsverordnung zum Zollkodex die Verordnung (EWG) Nr. 2454/93 der Kommission vom 2. Juli 1993 mit Durchführungsvorschriften zu der Verordnung (EWG) Nr. 2913/92 des Rates vom 12. Oktober 1992 zur Festlegung des Zollkodex der Gemeinschaften (ABl. EG Nr. L 253 S. 1, 1994 Nr. L 268 S. 32, 1996 Nr. L 180 S. 34, 1997 Nr. L 156 S. 59, 1999 Nr. L 111 S. 88), zuletzt geändert durch die Verordnung (EG) Nr. 1335/2003 der Kommission vom 25. Juli 2003 (ABl. EU Nr. L 187 S. 16), in der jeweils geltenden Fassung.</w:t>
      </w:r>
    </w:p>
    <w:p>
      <w:r>
        <w:t xml:space="preserve">(2) Einfuhrumsatzsteuerfrei ist, vorbehaltlich des § 11, die vorübergehende Einfuhr von Gegenständen, die</w:t>
      </w:r>
    </w:p>
    <w:p>
      <w:pPr>
        <w:ind w:left="420"/>
      </w:pPr>
      <w:r>
        <w:t xml:space="preserve">1. nach den Artikeln 137 bis 144 des Zollkodex frei von Einfuhrabgaben im Sinne des Artikels 4 Nr. 10 des Zollkodex eingeführt werden können oder die</w:t>
      </w:r>
    </w:p>
    <w:p>
      <w:pPr>
        <w:ind w:left="420"/>
      </w:pPr>
      <w:r>
        <w:t xml:space="preserve">2. gelegentlich und ohne gewerbliche Absicht eingeführt werden, sofern der Verwender hinsichtlich dieser Gegenstände nicht oder nicht in vollem Umfang nach § 15 Abs. 1 Nr. 2 des Gesetzes zum Vorsteuerabzug berechtigt ist,</w:t>
      </w:r>
    </w:p>
    <w:p>
      <w:r>
        <w:t xml:space="preserve">in sinngemäßer Anwendung der genannten Vorschriften sowie der Durchführungsvorschriften dazu; ausgenommen sind die Vorschriften über die vorübergehende Verwendung bei teilweiser Befreiung von Einfuhrabgaben im Sinne des Artikels 4 Nr. 10 Zollkodex.</w:t>
      </w:r>
    </w:p>
    <w:p>
      <w:r>
        <w:t xml:space="preserve">(2a) Einfuhrumsatzsteuerfrei ist, vorbehaltlich des § 12, die Einfuhr der Gegenstände, die nach den Artikeln 185 bis 187 Zollkodex als Rückwaren frei von Einfuhrabgaben im Sinne des Artikels 4 Nr. 10 Zollkodex eingeführt werden können, in sinngemäßer Anwendung dieser Vorschriften sowie der Durchführungsvorschriften dazu. Die Steuerfreiheit gilt auch für die Gegenstände, die in Artikel 185 Abs. 2 Buchstabe b Zollkodex aufgeführt sind.</w:t>
      </w:r>
    </w:p>
    <w:p>
      <w:r>
        <w:t xml:space="preserve">(3) Einfuhrumsatzsteuerfrei ist ferner die Einfuhr der Gegenstände, die nach den §§ 12, 14 bis 22 der Zollverordnung vom 23. Dezember 1993 (BGBl. I S. 2449) in der jeweils geltenden Fassung frei von Einfuhrabgaben im Sinne des Artikels 4 Nr. 10 Zollkodex eingeführt werden können, in sinngemäßer Anwendung dieser Vorschriften.</w:t>
      </w:r>
    </w:p>
    <w:p>
      <w:r>
        <w:rPr>
          <w:color w:val="555555"/>
          <w:sz w:val="17"/>
        </w:rPr>
        <w:t xml:space="preserve">Zitiervorschlag: § 1 EUStBV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https://recht.nulegal.eu/gesetze/EUStBV%201993/1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