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EUStAG — Anwendbarkeit des Gesetzes über die Entschädigung für Strafverfolgungsmaßnahmen</w:t>
      </w:r>
    </w:p>
    <w:p>
      <w:r>
        <w:rPr>
          <w:color w:val="555555"/>
          <w:sz w:val="18"/>
        </w:rPr>
        <w:t xml:space="preserve">Europäische-Staatsanwaltschaft-Gesetz</w:t>
      </w:r>
    </w:p>
    <w:p>
      <w:r>
        <w:rPr>
          <w:color w:val="555555"/>
          <w:sz w:val="18"/>
        </w:rPr>
        <w:t xml:space="preserve">Stand: 18.07.2020 (konsolidierte Textfassung, kein amtliches Inkrafttretensdatum)</w:t>
      </w:r>
    </w:p>
    <w:p>
      <w:r>
        <w:t xml:space="preserve">Das Gesetz über die Entschädigung für Strafverfolgungsmaßnahmen ist nicht anzuwenden, wenn die Strafverfolgungsmaßnahme auf einer Anordnung der Europäischen Staatsanwaltschaft beruht und ihr der dadurch entstandene Schaden zuzurechnen ist. Für Strafverfolgungsmaßnahmen, die durch eine deutsche Strafverfolgungsbehörde oder ein deutsches Gericht angeordnet wurden, bleibt das Gesetz über die Entschädigung für Strafverfolgungsmaßnahmen anwendbar.</w:t>
      </w:r>
    </w:p>
    <w:p>
      <w:r>
        <w:rPr>
          <w:color w:val="555555"/>
          <w:sz w:val="17"/>
        </w:rPr>
        <w:t xml:space="preserve">Zitiervorschlag: § 8 EUStAG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https://recht.nulegal.eu/gesetze/EUStAG/8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