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EUStAG — Anwendbarkeit datenschutzrechtlicher Bestimmungen</w:t>
      </w:r>
    </w:p>
    <w:p>
      <w:r>
        <w:rPr>
          <w:color w:val="555555"/>
          <w:sz w:val="18"/>
        </w:rPr>
        <w:t xml:space="preserve">Europäische-Staatsanwaltschaft-Gesetz</w:t>
      </w:r>
    </w:p>
    <w:p>
      <w:r>
        <w:rPr>
          <w:color w:val="555555"/>
          <w:sz w:val="18"/>
        </w:rPr>
        <w:t xml:space="preserve">Stand: 18.07.2020 (konsolidierte Textfassung, kein amtliches Inkrafttretensdatum)</w:t>
      </w:r>
    </w:p>
    <w:p>
      <w:r>
        <w:t xml:space="preserve">(1) § 161 Absatz 2 und die §§ 483 bis 491 der Strafprozessordnung sind auf die Verarbeitung personenbezogener Daten durch die Europäische Staatsanwaltschaft nicht anzuwenden.</w:t>
      </w:r>
    </w:p>
    <w:p>
      <w:r>
        <w:t xml:space="preserve">(2) § 479 Absatz 5 Satz 2 und 3 der Strafprozessordnung ist nicht anzuwenden in Fällen, in denen die Europäische Staatsanwaltschaft Empfänger der übermittelten personenbezogenen Daten ist.</w:t>
      </w:r>
    </w:p>
    <w:p>
      <w:r>
        <w:t xml:space="preserve">(3) Die §§ 496 bis 499 der Strafprozessordnung sind nur anzuwenden, soweit die Delegierten Europäischen Staatsanwälte gemäß Artikel 45 der Verordnung (EU) 2017/1939 elektronische Akten in Datenverarbeitungsanlagen einer Bundes- oder Landesbehörde führen.</w:t>
      </w:r>
    </w:p>
    <w:p>
      <w:r>
        <w:t xml:space="preserve">(4) Die §§ 12 bis 14 und 16 bis 20 des Einführungsgesetzes zum Gerichtsverfassungsgesetz sind anzuwenden, soweit die Europäische Staatsanwaltschaft nach Maßgabe der Verordnung (EU) 2017/1939 befugt ist, die zuständigen innerstaatlichen Behörden unter Übermittlung personenbezogener Daten zu unterrichten. Die §§ 21 und 22 des Einführungsgesetzes zum Gerichtsverfassungsgesetz sind nicht anzuwenden.</w:t>
      </w:r>
    </w:p>
    <w:p>
      <w:r>
        <w:rPr>
          <w:color w:val="555555"/>
          <w:sz w:val="17"/>
        </w:rPr>
        <w:t xml:space="preserve">Zitiervorschlag: § 4 EUStAG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