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EUStAG — Einschränkung von Grundrechten</w:t>
      </w:r>
    </w:p>
    <w:p>
      <w:r>
        <w:rPr>
          <w:color w:val="555555"/>
          <w:sz w:val="18"/>
        </w:rPr>
        <w:t xml:space="preserve">Europäische-Staatsanwaltschaft-Gesetz</w:t>
      </w:r>
    </w:p>
    <w:p>
      <w:r>
        <w:rPr>
          <w:color w:val="555555"/>
          <w:sz w:val="18"/>
        </w:rPr>
        <w:t xml:space="preserve">Stand: 18.07.2020 (konsolidierte Textfassung, kein amtliches Inkrafttretensdatum)</w:t>
      </w:r>
    </w:p>
    <w:p>
      <w:r>
        <w:t xml:space="preserve">Durch dieses Gesetz werden die Grundrechte der körperlichen Unversehrtheit (Artikel 2 Absatz 2 Satz 1 des Grundgesetzes), der Freiheit der Person (Artikel 2 Absatz 2 Satz 2 des Grundgesetzes), des Brief-, Post- und Fernmeldegeheimnisses (Artikel 10 Absatz 1 des Grundgesetzes) und der Unverletzlichkeit der Wohnung (Artikel 13 des Grundgesetzes) eingeschränkt.</w:t>
      </w:r>
    </w:p>
    <w:p>
      <w:r>
        <w:rPr>
          <w:color w:val="555555"/>
          <w:sz w:val="17"/>
        </w:rPr>
        <w:t xml:space="preserve">Zitiervorschlag: § 15 EUStAG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