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EUROCONTROLÜbkNFProtG</w:t>
      </w:r>
    </w:p>
    <w:p>
      <w:r>
        <w:rPr>
          <w:color w:val="555555"/>
          <w:sz w:val="18"/>
        </w:rPr>
        <w:t xml:space="preserve">Gesetz zu dem Protokoll vom 27. Juni 1997 zur Neufassung des Internationalen Übereinkommens vom 13. Dezember 1960 über Zusammenarbeit zur Sicherung der Luftfahrt „EUROCONTROL“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nach Artikel 3 Satz 2 Buchstabe b und c der Anlage IV zum Übereinkommen („Bestimmungen über das gemeinsame Flugsicherungs-Streckengebührensystem“) gefassten Beschlüsse sind in ihrer jeweils geltenden, in der Bundesrepublik Deutschland angewendeten Fassung vom Bundesministerium für Verkehr und digitale Infrastruktur im Bundesgesetzblatt bekannt zu machen.</w:t>
      </w:r>
    </w:p>
    <w:p>
      <w:r>
        <w:t xml:space="preserve">(2) Das Bundesministerium für Verkehr und digitale Infrastruktur wird ermächtigt, durch Rechtsverordnung ohne Zustimmung des Bundesrates Abweichungen von einem Beschluss nach Absatz 1 festzulegen, wenn der Beschluss dieses vorsieht.</w:t>
      </w:r>
    </w:p>
    <w:p>
      <w:r>
        <w:rPr>
          <w:color w:val="555555"/>
          <w:sz w:val="17"/>
        </w:rPr>
        <w:t xml:space="preserve">Zitiervorschlag: Art 2 EUROCONTROLÜbkNFProtG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https://recht.nulegal.eu/gesetze/EUROCONTROL%C3%9CbkNFProtG/2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