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EURHGAusnahmV</w:t>
      </w:r>
    </w:p>
    <w:p>
      <w:r>
        <w:rPr>
          <w:color w:val="555555"/>
          <w:sz w:val="18"/>
        </w:rPr>
        <w:t xml:space="preserve">EU-RHG-Ausnahmeverordnung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9 Absatz 2 Nummer 2 Buchstabe b und des § 21 Absatz 3 Satz 4 Nummer 2, jeweils in Verbindung mit § 70 Absatz 10 Satz 1, des Lebensmittel- und Futtermittelgesetzbuches in der Fassung der Bekanntmachung vom 24. Juli 2009 (BGBl. I S. 2205) verordnet das Bundesministerium für Ernährung, Landwirtschaft und Verbraucherschutz:</w:t>
      </w:r>
    </w:p>
    <w:p>
      <w:r>
        <w:rPr>
          <w:color w:val="555555"/>
          <w:sz w:val="17"/>
        </w:rPr>
        <w:t xml:space="preserve">Zitiervorschlag: Eingangsformel EURHGAusnahmV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https://recht.nulegal.eu/gesetze/EURHGAusnahmV/eingangsformel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