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EUObstGemüseDV</w:t>
      </w:r>
    </w:p>
    <w:p>
      <w:r>
        <w:rPr>
          <w:color w:val="555555"/>
          <w:sz w:val="18"/>
        </w:rPr>
        <w:t xml:space="preserve">Verordnung zur Durchführung von EU-Sondermaßnahmen im Sektor Obst und Gemüse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Absatz 1 Nummer 1 Buchstabe s und t in Verbindung mit Absatz 4, der §§ 15 und 16 in Verbindung mit § 6 Absatz 4 und des § 31 Absatz 2 Satz 1 und 3 in Verbindung mit § 6 Absatz 4 Satz 2 des Marktorganisationsgesetzes in der Fassung der Bekanntmachung vom 24. Juni 2005 (BGBl. I S. 1847), von denen § 6 Absatz 1 und 4 Satz 1, § 15 Satz 1 und § 31 Absatz 2 Satz 1 und 3 durch Artikel 1 des Gesetzes vom 29. Juli 2009 (BGBl. I S. 2314) geändert worden sind, verordnet das Bundesministerium für Ernährung, Landwirtschaft und Verbraucherschutz im Einvernehmen mit dem Bundesministerium der Finanzen und dem Bundesministerium für Wirtschaft und Technologie:</w:t>
      </w:r>
    </w:p>
    <w:p>
      <w:r>
        <w:rPr>
          <w:color w:val="555555"/>
          <w:sz w:val="17"/>
        </w:rPr>
        <w:t xml:space="preserve">Zitiervorschlag: Eingangsformel EUObstGemüseDV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https://recht.nulegal.eu/gesetze/EUObstGem%C3%BCseDV/eingangsformel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EUObstGemüseDV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