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EULAKStiftAbkV</w:t>
      </w:r>
    </w:p>
    <w:p>
      <w:r>
        <w:rPr>
          <w:color w:val="555555"/>
          <w:sz w:val="18"/>
        </w:rPr>
        <w:t xml:space="preserve">Verordnung zu dem Abkommen vom 11. Mai 2023 zwischen der Regierung der Bundesrepublik Deutschland und der Internationalen EU-LAK-Stiftung über den Sitz der Internationalen EU-LAK-Stiftung in der Freien und Hansestadt Hamburg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Auf Grund des § 5 des Gaststaatgesetzes vom 30. November 2019 (BGBl. I S. 1929) verordnet die Bundesregierung:</w:t>
      </w:r>
    </w:p>
    <w:p>
      <w:r>
        <w:rPr>
          <w:color w:val="555555"/>
          <w:sz w:val="17"/>
        </w:rPr>
        <w:t xml:space="preserve">Zitiervorschlag: Eingangsformel EULAKStiftAbkV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https://recht.nulegal.eu/gesetze/EULAKStiftAbkV/eingangsformel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