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EULAKStiftAbkV</w:t>
      </w:r>
    </w:p>
    <w:p>
      <w:r>
        <w:rPr>
          <w:color w:val="555555"/>
          <w:sz w:val="18"/>
        </w:rPr>
        <w:t xml:space="preserve">Verordnung zu dem Abkommen vom 11. Mai 2023 zwischen der Regierung der Bundesrepublik Deutschland und der Internationalen EU-LAK-Stiftung über den Sitz der Internationalen EU-LAK-Stiftung in der Freien und Hansestadt Hamburg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Diese Verordnung tritt an dem Tag in Kraft, an dem das Abkommen zwischen der Regierung der Bundesrepublik Deutschland und der Internationalen EU-LAK-Stiftung über den Sitz der Internationalen EU-LAK-Stiftung für die Bundesrepublik Deutschland in Kraft tritt.</w:t>
      </w:r>
    </w:p>
    <w:p>
      <w:r>
        <w:t xml:space="preserve">(2) Diese Verordnung tritt an dem Tag außer Kraft, an dem das Abkommen außer Kraft tritt.</w:t>
      </w:r>
    </w:p>
    <w:p>
      <w:r>
        <w:t xml:space="preserve">(3) Der Tag des Inkrafttretens und der Tag des Außerkrafttretens sind im Bundesgesetzblatt bekannt zu geben.</w:t>
      </w:r>
    </w:p>
    <w:p>
      <w:r>
        <w:rPr>
          <w:color w:val="555555"/>
          <w:sz w:val="17"/>
        </w:rPr>
        <w:t xml:space="preserve">Zitiervorschlag: Art 2 EULAKStiftAbkV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https://recht.nulegal.eu/gesetze/EULAKStiftAbkV/2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