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EUKiGAbV</w:t>
      </w:r>
    </w:p>
    <w:p>
      <w:r>
        <w:rPr>
          <w:color w:val="555555"/>
          <w:sz w:val="18"/>
        </w:rPr>
        <w:t xml:space="preserve">EU-Kindergelddaten-Abrufverordnung</w:t>
      </w:r>
    </w:p>
    <w:p>
      <w:r>
        <w:rPr>
          <w:color w:val="555555"/>
          <w:sz w:val="18"/>
        </w:rPr>
        <w:t xml:space="preserve">Stand: 01.10.2022 (konsolidierte Textfassung, kein amtliches Inkrafttretensdatum)</w:t>
      </w:r>
    </w:p>
    <w:p>
      <w:r>
        <w:t xml:space="preserve">Auf Grund des § 68 Absatz 6 Satz 2 des Einkommensteuergesetzes, der durch Artikel 9 Nummer 8 des Gesetzes vom 11. Juli 2019 (BGBl. I S. 1066) eingefügt worden ist, verordnet das Bundesministerium der Finanzen:</w:t>
      </w:r>
    </w:p>
    <w:p>
      <w:r>
        <w:rPr>
          <w:color w:val="555555"/>
          <w:sz w:val="17"/>
        </w:rPr>
        <w:t xml:space="preserve">Zitiervorschlag: Eingangsformel EUKiGAbV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https://recht.nulegal.eu/gesetze/EUKiGAbV/eingangsformel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