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EUGewSchVG — Maßnahmen nach Anerkennung einer Europäischen Schutzanordnung</w:t>
      </w:r>
    </w:p>
    <w:p>
      <w:r>
        <w:rPr>
          <w:color w:val="555555"/>
          <w:sz w:val="18"/>
        </w:rPr>
        <w:t xml:space="preserve">EU-Gewaltschutzverfahrensgesetz</w:t>
      </w:r>
    </w:p>
    <w:p>
      <w:r>
        <w:rPr>
          <w:color w:val="555555"/>
          <w:sz w:val="18"/>
        </w:rPr>
        <w:t xml:space="preserve">Stand: 10.06.2019 (konsolidierte Textfassung, kein amtliches Inkrafttretensdatum)</w:t>
      </w:r>
    </w:p>
    <w:p>
      <w:r>
        <w:t xml:space="preserve">(1) Erkennt das Gericht die Europäische Schutzanordnung an, so erlässt es zugleich eine geeignete Maßnahme nach § 1 des Gewaltschutzgesetzes, die in höchstmöglichem Maße der angeordneten Schutzmaßnahme entspricht. § 3 des Gewaltschutzgesetzes gilt entsprechend.</w:t>
      </w:r>
    </w:p>
    <w:p>
      <w:r>
        <w:t xml:space="preserve">(2) Das Gericht unterrichtet die geschützte Person, die gefährdende Person und die Anordnungsbehörde über die nach Absatz 1 erlassene Maßnahme und über die möglichen Rechtsfolgen eines Verstoßes. Die Anschrift oder andere Kontaktangaben der geschützten Person werden der gefährdenden Person nicht offengelegt, es sei denn, diese Angaben sind für die Vollstreckung der gemäß Absatz 1 erlassenen Maßnahme notwendig. § 216a des Gesetzes über das Verfahren in Familiensachen und in den Angelegenheiten der freiwilligen Gerichtsbarkeit bleibt unberührt.</w:t>
      </w:r>
    </w:p>
    <w:p>
      <w:r>
        <w:rPr>
          <w:color w:val="555555"/>
          <w:sz w:val="17"/>
        </w:rPr>
        <w:t xml:space="preserve">Zitiervorschlag: § 9 EUGewSchVG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https://recht.nulegal.eu/gesetze/EUGewSchVG/9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