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EUGewSchVG — Entscheidung über die Anerkennung einer Europäischen Schutzanordnung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 unverzüglich über die Anerkennung der Europäischen Schutzanordnung. Die Entscheidung ergeht durch Beschluss ohne Anhörung der gefährdenden Person.</w:t>
      </w:r>
    </w:p>
    <w:p>
      <w:r>
        <w:t xml:space="preserve">(2) Im Fall der Ablehnung der Anerkennung unterrichtet das Gericht</w:t>
      </w:r>
    </w:p>
    <w:p>
      <w:pPr>
        <w:ind w:left="420"/>
      </w:pPr>
      <w:r>
        <w:t xml:space="preserve">1. die Anordnungsbehörde und die geschützte Person unverzüglich über die ablehnende Entscheidung und die Gründe hierfür und</w:t>
      </w:r>
    </w:p>
    <w:p>
      <w:pPr>
        <w:ind w:left="420"/>
      </w:pPr>
      <w:r>
        <w:t xml:space="preserve">2. die geschützte Person über die Möglichkeit, den Erlass einer Anordnung nach dem Gewaltschutzgesetz zu beantragen.</w:t>
      </w:r>
    </w:p>
    <w:p>
      <w:r>
        <w:rPr>
          <w:color w:val="555555"/>
          <w:sz w:val="17"/>
        </w:rPr>
        <w:t xml:space="preserve">Zitiervorschlag: § 7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