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EUGewSchVG — Zuständigkeitskonzentration; Verordnungsermächtigungen</w:t>
      </w:r>
    </w:p>
    <w:p>
      <w:r>
        <w:rPr>
          <w:color w:val="555555"/>
          <w:sz w:val="18"/>
        </w:rPr>
        <w:t xml:space="preserve">EU-Gewaltschutzverfahrensgesetz</w:t>
      </w:r>
    </w:p>
    <w:p>
      <w:r>
        <w:rPr>
          <w:color w:val="555555"/>
          <w:sz w:val="18"/>
        </w:rPr>
        <w:t xml:space="preserve">Stand: 10.07.2026 (konsolidierte Textfassung, kein amtliches Inkrafttretensdatum)</w:t>
      </w:r>
    </w:p>
    <w:p>
      <w:r>
        <w:t xml:space="preserve">(1) In Verfahren über eine in den §§ 3 und 4 bezeichnete Sache ist das Familiengericht zuständig, in dessen Bezirk ein Oberlandesgericht seinen Sitz hat, für den Bezirk dieses Oberlandesgerichts.</w:t>
      </w:r>
    </w:p>
    <w:p>
      <w:r>
        <w:t xml:space="preserve">(2) Im Bezirk des Kammergerichts entscheidet das Familiengericht Pankow.</w:t>
      </w:r>
    </w:p>
    <w:p>
      <w:r>
        <w:t xml:space="preserve">(3) Die Landesregierungen werden ermächtigt, durch Rechtsverordnung diese Zuständigkeit einem anderen Familiengericht des Oberlandesgerichtsbezirks oder, wenn in einem Land mehrere Oberlandesgerichte errichtet sind, einem Familiengericht für die Bezirke aller oder mehrerer Oberlandesgerichte zuzuweisen. Diese Ermächtigung kann von der jeweiligen Landesregierung durch Rechtsverordnung auf die Landesjustizverwaltung übertragen werden.</w:t>
      </w:r>
    </w:p>
    <w:p>
      <w:r>
        <w:t xml:space="preserve">(4) Die Landesregierungen werden ermächtigt, durch Rechtsverordnung die Zuständigkeit nach § 2a einem in den Absätzen 1 oder 2 oder einem durch Rechtsverordnung nach Absatz 3 bezeichneten Familiengericht zuzuweisen. Diese Ermächtigung kann von der jeweiligen Landesregierung durch Rechtsverordnung auf die Landesjustizverwaltung übertragen werden.</w:t>
      </w:r>
    </w:p>
    <w:p>
      <w:r>
        <w:rPr>
          <w:color w:val="555555"/>
          <w:sz w:val="17"/>
        </w:rPr>
        <w:t xml:space="preserve">Zitiervorschlag: § 5 EUGewSchVG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https://recht.nulegal.eu/gesetze/EUGewSchVG/5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