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EUGewSchVG — Verfahren der Anerkennung einer Europäischen Schutzanordnung</w:t>
      </w:r>
    </w:p>
    <w:p>
      <w:r>
        <w:rPr>
          <w:color w:val="555555"/>
          <w:sz w:val="18"/>
        </w:rPr>
        <w:t xml:space="preserve">EU-Gewaltschutzverfahrensgesetz</w:t>
      </w:r>
    </w:p>
    <w:p>
      <w:r>
        <w:rPr>
          <w:color w:val="555555"/>
          <w:sz w:val="18"/>
        </w:rPr>
        <w:t xml:space="preserve">Stand: 10.06.2019 (konsolidierte Textfassung, kein amtliches Inkrafttretensdatum)</w:t>
      </w:r>
    </w:p>
    <w:p>
      <w:r>
        <w:t xml:space="preserve">(1) Für die Anerkennung einer Europäischen Schutzanordnung ist das Familiengericht ausschließlich zuständig, in dessen Bezirk sich die geschützte Person aufhält.</w:t>
      </w:r>
    </w:p>
    <w:p>
      <w:r>
        <w:t xml:space="preserve">(2) Nach Eingang einer Europäischen Schutzanordnung prüft das Gericht unverzüglich seine Zuständigkeit. Im Fall seiner Unzuständigkeit übermittelt das Gericht die Europäische Schutzanordnung an das zuständige Gericht und unterrichtet die Anordnungsbehörde darüber unverzüglich in schriftlicher Form.</w:t>
      </w:r>
    </w:p>
    <w:p>
      <w:r>
        <w:t xml:space="preserve">(3) Enthält die Europäische Schutzanordnung nicht mindestens die Angaben gemäß § 6 Nummer 1 in deutscher Sprache, unterrichtet das Gericht die Anordnungsbehörde hierüber unverzüglich in schriftlicher Form und setzt ihr eine angemessene Frist zur Vervollständigung.</w:t>
      </w:r>
    </w:p>
    <w:p>
      <w:r>
        <w:rPr>
          <w:color w:val="555555"/>
          <w:sz w:val="17"/>
        </w:rPr>
        <w:t xml:space="preserve">Zitiervorschlag: § 4 EUGewSchVG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https://recht.nulegal.eu/gesetze/EUGewSchVG/4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