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EUGewSchVG — Entgegennahme und Übermittlung eines Antrags auf Erlass einer Europäischen Schutzanordnung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Entgegennahme eines Antrags auf Erlass einer Europäischen Schutzanordnung ist das Familiengericht ausschließlich zuständig, in dessen Bezirk sich die geschützte Person aufhält.</w:t>
      </w:r>
    </w:p>
    <w:p>
      <w:r>
        <w:t xml:space="preserve">(2) Der Antrag kann auch von dem gesetzlichen Vertreter der geschützten Person gestellt werden. Er kann bei dem Gericht schriftlich oder zur Niederschrift der Geschäftsstelle abgegeben werden.</w:t>
      </w:r>
    </w:p>
    <w:p>
      <w:r>
        <w:t xml:space="preserve">(3) Das Gericht übermittelt den Antrag auf Erlass einer Europäischen Schutzanordnung unverzüglich an die Anordnungsbehörde.</w:t>
      </w:r>
    </w:p>
    <w:p>
      <w:r>
        <w:rPr>
          <w:color w:val="555555"/>
          <w:sz w:val="17"/>
        </w:rPr>
        <w:t xml:space="preserve">Zitiervorschlag: § 3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