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EUGewSchVG — Gestattung der Anhörung mittels Videokonferenz oder Fernkommunikation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Für Ersuchen der Anordnungsbehörde eines anderen Mitgliedstaats um Gestattung der Anhörung einer Person mittels Videokonferenz oder Fernkommunikation nach Artikel 6 Absatz 1 Buchstabe e der Verordnung (EU) 2023/2844 ist das Familiengericht ausschließlich zuständig, in dessen Bezirk sich die anzuhörende Person aufhält.</w:t>
      </w:r>
    </w:p>
    <w:p>
      <w:r>
        <w:rPr>
          <w:color w:val="555555"/>
          <w:sz w:val="17"/>
        </w:rPr>
        <w:t xml:space="preserve">Zitiervorschlag: § 2a EUGewSchVG</w:t>
      </w:r>
    </w:p>
    <w:p>
      <w:r>
        <w:rPr>
          <w:color w:val="555555"/>
          <w:sz w:val="17"/>
        </w:rPr>
        <w:t xml:space="preserve">Quelle: Bundesamt für Justiz, abgerufen 10.07.2026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