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EUGewSchVG — Versagung der Anerkennung oder der Vollstreckung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Anträge auf Versagung der Anerkennung oder der Vollstreckung (Artikel 13 Absatz 1 der Verordnung (EU) Nr. 606/2013) ist das in § 19 bestimmte Gericht zuständig.</w:t>
      </w:r>
    </w:p>
    <w:p>
      <w:r>
        <w:t xml:space="preserve">(2) Der Antrag auf Versagung kann bei dem Gericht schriftlich eingereicht oder mündlich zu Protokoll der Geschäftsstelle erklärt werden.</w:t>
      </w:r>
    </w:p>
    <w:p>
      <w:r>
        <w:t xml:space="preserve">(3) Über den Antrag auf Versagung entscheidet das Gericht durch Beschluss. Der Beschluss kann ohne mündliche Verhandlung ergehen und ist zu begründen. Die geschützte Person ist vor der Entscheidung zu hören.</w:t>
      </w:r>
    </w:p>
    <w:p>
      <w:r>
        <w:t xml:space="preserve">(4) Gegen die Entscheidung findet die Beschwerde statt.</w:t>
      </w:r>
    </w:p>
    <w:p>
      <w:r>
        <w:rPr>
          <w:color w:val="555555"/>
          <w:sz w:val="17"/>
        </w:rPr>
        <w:t xml:space="preserve">Zitiervorschlag: § 21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