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EUGewSchVG — Anpassung eines ausländischen Titels</w:t>
      </w:r>
    </w:p>
    <w:p>
      <w:r>
        <w:rPr>
          <w:color w:val="555555"/>
          <w:sz w:val="18"/>
        </w:rPr>
        <w:t xml:space="preserve">EU-Gewaltschutzverfahrensgesetz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passt den ausländischen Titel nach Artikel 11 der Verordnung (EU) Nr. 606/2013 an, soweit dies erforderlich ist, um ihm Wirkung zu verleihen.</w:t>
      </w:r>
    </w:p>
    <w:p>
      <w:r>
        <w:t xml:space="preserve">(2) Das Gericht kann über die Anpassung des ausländischen Titels ohne mündliche Verhandlung und ohne Anhörung der gefährdenden Person entscheiden. Die Entscheidung ergeht durch Beschluss, der zu begründen ist.</w:t>
      </w:r>
    </w:p>
    <w:p>
      <w:r>
        <w:t xml:space="preserve">(3) Passt das Gericht den ausländischen Titel an, findet die Vollstreckung aus diesem Beschluss statt, ohne dass es einer Vollstreckungsklausel bedarf. Der Beschluss ist untrennbar mit der Bescheinigung gemäß Artikel 5 Absatz 1 der Verordnung (EU) Nr. 606/2013 zu verbinden. Der Beschluss ist der geschützten Person und der gefährdenden Person zuzustellen. Die Zustellung an die gefährdende Person richtet sich nach Artikel 11 Absatz 4 der Verordnung (EU) Nr. 606/2013.</w:t>
      </w:r>
    </w:p>
    <w:p>
      <w:r>
        <w:t xml:space="preserve">(4) Gegen die Entscheidung findet die Beschwerde statt.</w:t>
      </w:r>
    </w:p>
    <w:p>
      <w:r>
        <w:rPr>
          <w:color w:val="555555"/>
          <w:sz w:val="17"/>
        </w:rPr>
        <w:t xml:space="preserve">Zitiervorschlag: § 20 EUGewSchVG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https://recht.nulegal.eu/gesetze/EUGewSchVG/20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