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EUGewSchVG — Örtliche Zuständigkeit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28.08.2021 (konsolidierte Textfassung, kein amtliches Inkrafttretensdatum)</w:t>
      </w:r>
    </w:p>
    <w:p>
      <w:r>
        <w:t xml:space="preserve">Für die Zwangsvollstreckung ist das Familiengericht ausschließlich örtlich zuständig, in dessen Zuständigkeitsbezirk</w:t>
      </w:r>
    </w:p>
    <w:p>
      <w:pPr>
        <w:ind w:left="420"/>
      </w:pPr>
      <w:r>
        <w:t xml:space="preserve">1. sich die gefährdende Person aufhält oder</w:t>
      </w:r>
    </w:p>
    <w:p>
      <w:pPr>
        <w:ind w:left="420"/>
      </w:pPr>
      <w:r>
        <w:t xml:space="preserve">2. die Zwangsvollstreckung durchgeführt werden soll.</w:t>
      </w:r>
    </w:p>
    <w:p>
      <w:r>
        <w:t xml:space="preserve">Für den Bezirk des Kammergerichts entscheidet das Amtsgericht Pankow.</w:t>
      </w:r>
    </w:p>
    <w:p>
      <w:r>
        <w:rPr>
          <w:color w:val="555555"/>
          <w:sz w:val="17"/>
        </w:rPr>
        <w:t xml:space="preserve">Zitiervorschlag: § 19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