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EUGewSchVG — Zuständigkeit</w:t>
      </w:r>
    </w:p>
    <w:p>
      <w:r>
        <w:rPr>
          <w:color w:val="555555"/>
          <w:sz w:val="18"/>
        </w:rPr>
        <w:t xml:space="preserve">EU-Gewaltschutzverfahrensgesetz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Ausstellung der Bescheinigungen nach Artikel 5 Absatz 1 und Artikel 14 Absatz 1 der Verordnung (EU) Nr. 606/2013 sind die Gerichte zuständig, denen die Erteilung einer vollstreckbaren Ausfertigung des Titels obliegt.</w:t>
      </w:r>
    </w:p>
    <w:p>
      <w:r>
        <w:rPr>
          <w:color w:val="555555"/>
          <w:sz w:val="17"/>
        </w:rPr>
        <w:t xml:space="preserve">Zitiervorschlag: § 14 EUGewSchVG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https://recht.nulegal.eu/gesetze/EUGewSchVG/14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