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EUGewSchVG — Begriffsbestimmungen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Abschnitts ist</w:t>
      </w:r>
    </w:p>
    <w:p>
      <w:pPr>
        <w:ind w:left="420"/>
      </w:pPr>
      <w:r>
        <w:t xml:space="preserve">1. Mitgliedstaat jeder Mitgliedstaat der Europäischen Union mit Ausnahme Dänemarks,</w:t>
      </w:r>
    </w:p>
    <w:p>
      <w:pPr>
        <w:ind w:left="420"/>
      </w:pPr>
      <w:r>
        <w:t xml:space="preserve">2. geschützte Person die geschützte Person im Sinne der Verordnung (EU) Nr. 606/2013,</w:t>
      </w:r>
    </w:p>
    <w:p>
      <w:pPr>
        <w:ind w:left="420"/>
      </w:pPr>
      <w:r>
        <w:t xml:space="preserve">3. gefährdende Person die gefährdende Person im Sinne der Verordnung (EU) Nr. 606/2013.</w:t>
      </w:r>
    </w:p>
    <w:p>
      <w:r>
        <w:rPr>
          <w:color w:val="555555"/>
          <w:sz w:val="17"/>
        </w:rPr>
        <w:t xml:space="preserve">Zitiervorschlag: § 13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