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EUGewSchVG — Änderung einer nach § 9 Absatz 1 erlassenen Maßnahme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Unterrichtet die Anordnungsbehörde das Gericht von der Änderung der Europäischen Schutzanordnung, so ändert das Gericht auch die auf deren Grundlage nach § 9 Absatz 1 erlassene Maßnahme unter Beachtung von § 9 Absatz 1 ab.</w:t>
      </w:r>
    </w:p>
    <w:p>
      <w:r>
        <w:t xml:space="preserve">(2) Das Gericht kann die Änderung gemäß Absatz 1 ablehnen, wenn die Anerkennung der geänderten Europäischen Schutzanordnung nach § 6 Nummer 1 oder Nummer 2 versagt werden könnte.</w:t>
      </w:r>
    </w:p>
    <w:p>
      <w:r>
        <w:t xml:space="preserve">(3) Wird eine Maßnahme, die nach § 9 Absatz 1 erlassen wurde, gemäß Absatz 1 geändert oder wird die Änderung einer Maßnahme, die nach § 9 Absatz 1 erlassen wurde, gemäß Absatz 2 abgelehnt, setzt das Gericht die Anordnungsbehörde, die geschützte Person und die gefährdende Person hiervon unverzüglich in Kenntnis.</w:t>
      </w:r>
    </w:p>
    <w:p>
      <w:r>
        <w:rPr>
          <w:color w:val="555555"/>
          <w:sz w:val="17"/>
        </w:rPr>
        <w:t xml:space="preserve">Zitiervorschlag: § 12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