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EUGewSchVG — Aufhebung einer nach § 9 Absatz 1 erlassenen Maßnahme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Unterrichtet die Anordnungsbehörde das Gericht von der Aufhebung der Europäischen Schutzanordnung, hebt das Gericht auch die aufgrund der Europäischen Schutzanordnung nach § 9 Absatz 1 erlassene Maßnahme unverzüglich auf.</w:t>
      </w:r>
    </w:p>
    <w:p>
      <w:r>
        <w:t xml:space="preserve">(2) Das Gericht kann eine nach § 9 Absatz 1 erlassene Maßnahme auch aufheben, wenn</w:t>
      </w:r>
    </w:p>
    <w:p>
      <w:pPr>
        <w:ind w:left="420"/>
      </w:pPr>
      <w:r>
        <w:t xml:space="preserve">1. die geschützte Person ihren Wohnsitz nicht im Inland hat, sich nicht oder nicht mehr im Inland aufhält oder das Inland endgültig verlassen hat,</w:t>
      </w:r>
    </w:p>
    <w:p>
      <w:pPr>
        <w:ind w:left="420"/>
      </w:pPr>
      <w:r>
        <w:t xml:space="preserve">2. die zugrunde liegende Europäische Schutzanordnung im anordnenden Mitgliedstaat geändert worden ist und das Gericht eine Änderung auch der nach § 9 Absatz 1 erlassenen Maßnahme gemäß § 12 Absatz 2 ablehnt oder</w:t>
      </w:r>
    </w:p>
    <w:p>
      <w:pPr>
        <w:ind w:left="420"/>
      </w:pPr>
      <w:r>
        <w:t xml:space="preserve">3. ihm ein Urteil im Sinne des Artikels 2 Nummer 1 des Rahmenbeschlusses 2008/947/JI oder eine Entscheidung über Überwachungsmaßnahmen im Sinne des Artikels 4 des Rahmenbeschlusses 2009/829/JI übermittelt wird.</w:t>
      </w:r>
    </w:p>
    <w:p>
      <w:r>
        <w:t xml:space="preserve">(3) Wird eine Maßnahme, die nach § 9 Absatz 1 erlassen wurde, gemäß Absatz 2 aufgehoben, setzt das Gericht die Anordnungsbehörde, die geschützte Person und die gefährdende Person hiervon unverzüglich in Kenntnis.</w:t>
      </w:r>
    </w:p>
    <w:p>
      <w:r>
        <w:rPr>
          <w:color w:val="555555"/>
          <w:sz w:val="17"/>
        </w:rPr>
        <w:t xml:space="preserve">Zitiervorschlag: § 11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