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EUGewSchVG — Verstoß gegen eine nach § 9 Absatz 1 erlassene Maßnahme</w:t>
      </w:r>
    </w:p>
    <w:p>
      <w:r>
        <w:rPr>
          <w:color w:val="555555"/>
          <w:sz w:val="18"/>
        </w:rPr>
        <w:t xml:space="preserve">EU-Gewaltschutzverfahrensgesetz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Erlangt das Gericht Kenntnis von einem Verstoß gegen eine nach § 9 Absatz 1 erlassene Maßnahme, unterrichtet es hierüber folgende Behörden unter Verwendung des nach Absatz 3 eingeführten Formblatts:</w:t>
      </w:r>
    </w:p>
    <w:p>
      <w:pPr>
        <w:ind w:left="420"/>
      </w:pPr>
      <w:r>
        <w:t xml:space="preserve">1. die Anordnungsbehörde und</w:t>
      </w:r>
    </w:p>
    <w:p>
      <w:pPr>
        <w:ind w:left="420"/>
      </w:pPr>
      <w:r>
        <w:t xml:space="preserve">2. die mit der Überwachung befasste Behörde des Mitgliedstaates, der gemäß Rahmenbeschluss 2008/947/JI die Überwachung der der gefährdenden Person auferlegten Bewährungsmaßnahmen oder alternativen Sanktionen oder gemäß Rahmenbeschluss 2009/829/JI die Überwachung der gegen die gefährdende Person zur Vermeidung von Untersuchungshaft verhängten Auflagen und Weisungen übernommen hat.</w:t>
      </w:r>
    </w:p>
    <w:p>
      <w:r>
        <w:t xml:space="preserve">Das ausgefüllte Formblatt ist in die Amtssprache oder eine der Amtssprachen des anordnenden Mitgliedstaates und des Mitgliedstaates der Überwachung zu übersetzen.</w:t>
      </w:r>
    </w:p>
    <w:p>
      <w:r>
        <w:t xml:space="preserve">(2) In den Fällen des Absatzes 1 teilt das Gericht den Verstoß der zuständigen Polizeibehörde und anderen öffentlichen Stellen, die von der Durchführung der nach § 9 Absatz 1 erlassenen Maßnahme betroffen sind, unverzüglich mit. Die geschützte Person und die gefährdende Person sollen über die Mitteilung unterrichtet werden.</w:t>
      </w:r>
    </w:p>
    <w:p>
      <w:r>
        <w:t xml:space="preserve">(3) Für die Unterrichtung nach Absatz 1 wird das in der Anlage bestimmte Formblatt eingeführt.</w:t>
      </w:r>
    </w:p>
    <w:p>
      <w:r>
        <w:rPr>
          <w:color w:val="555555"/>
          <w:sz w:val="17"/>
        </w:rPr>
        <w:t xml:space="preserve">Zitiervorschlag: § 10 EUGewSchVG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https://recht.nulegal.eu/gesetze/EUGewSchVG/10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