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EUFinSchStG — Bestechlichkeit und Bestechung mit Bezug zu den finanziellen Interessen der Europäischen Union</w:t>
      </w:r>
    </w:p>
    <w:p>
      <w:r>
        <w:rPr>
          <w:color w:val="555555"/>
          <w:sz w:val="18"/>
        </w:rPr>
        <w:t xml:space="preserve">EU-Finanzschutzstärkungsgesetz</w:t>
      </w:r>
    </w:p>
    <w:p>
      <w:r>
        <w:rPr>
          <w:color w:val="555555"/>
          <w:sz w:val="18"/>
        </w:rPr>
        <w:t xml:space="preserve">Stand: 02.07.2019 (konsolidierte Textfassung, kein amtliches Inkrafttretensdatum)</w:t>
      </w:r>
    </w:p>
    <w:p>
      <w:r>
        <w:t xml:space="preserve">Für die Anwendung der §§ 332 und 334 des Strafgesetzbuches, jeweils auch in Verbindung mit den §§ 335 und 335a des Strafgesetzbuches, auf eine Tat, die sich auf eine künftige richterliche Handlung oder eine künftige Diensthandlung bezieht, steht einer Verletzung der dienstlichen oder richterlichen Pflichten eine Beschädigung oder Gefährdung des Vermögens der Europäischen Union gleich.</w:t>
      </w:r>
    </w:p>
    <w:p>
      <w:r>
        <w:rPr>
          <w:color w:val="555555"/>
          <w:sz w:val="17"/>
        </w:rPr>
        <w:t xml:space="preserve">Zitiervorschlag: § 3 EUFinSchStG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https://recht.nulegal.eu/gesetze/EUFinSchStG/3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