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EUBestBekämpfÜbkG</w:t>
      </w:r>
    </w:p>
    <w:p>
      <w:r>
        <w:rPr>
          <w:color w:val="555555"/>
          <w:sz w:val="18"/>
        </w:rPr>
        <w:t xml:space="preserve">Gesetz zu dem Übereinkommen vom 26. Mai 1997 über die Bekämpfung der Bestechung, an der Beamte der Europäischen Gemeinschaften oder der Mitgliedstaaten der Europäischen Union beteiligt sind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Satzes 2 am Tag nach seiner Verkündung in Kraft. Artikel 2 tritt an dem Tag in Kraft, an dem das Übereinkommen nach seinem Artikel 13 Abs. 3 für die Bundesrepublik Deutschland in Kraft tritt.</w:t>
      </w:r>
    </w:p>
    <w:p>
      <w:r>
        <w:t xml:space="preserve">(2) Der Tag, an dem das Übereinkommen nach seinem Artikel 13 Abs. 3 für die Bundesrepublik Deutschland in Kraft tritt, ist im Bundesgesetzblatt bekannt zu geben. Das Gleiche gilt für den Tag, von dem an das Übereinkommen nach seinem Artikel 13 Abs. 4 vorzeitige Anwendung findet.</w:t>
      </w:r>
    </w:p>
    <w:p>
      <w:r>
        <w:rPr>
          <w:color w:val="555555"/>
          <w:sz w:val="17"/>
        </w:rPr>
        <w:t xml:space="preserve">Zitiervorschlag: Art 3 EUBestBekämpfÜbkG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https://recht.nulegal.eu/gesetze/EUBestBek%C3%A4mpf%C3%9CbkG/3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