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EUBeitrG — Beitreibungsersuchen von anderen Mitgliedstaaten</w:t>
      </w:r>
    </w:p>
    <w:p>
      <w:r>
        <w:rPr>
          <w:color w:val="555555"/>
          <w:sz w:val="18"/>
        </w:rPr>
        <w:t xml:space="preserve">EU-Beitreibungsgesetz</w:t>
      </w:r>
    </w:p>
    <w:p>
      <w:r>
        <w:rPr>
          <w:color w:val="555555"/>
          <w:sz w:val="18"/>
        </w:rPr>
        <w:t xml:space="preserve">Stand: 10.06.2019 (konsolidierte Textfassung, kein amtliches Inkrafttretensdatum)</w:t>
      </w:r>
    </w:p>
    <w:p>
      <w:r>
        <w:t xml:space="preserve">(1) Auf Ersuchen nimmt die Vollstreckungsbehörde die Vollstreckung von Forderungen vor, für die in einem anderen Mitgliedstaat ein Vollstreckungstitel besteht. Die Forderung wird wie eine inländische Forderung behandelt. Als vollstreckbarer Verwaltungsakt gilt der dem Ersuchen beigefügte einheitliche Vollstreckungstitel.</w:t>
      </w:r>
    </w:p>
    <w:p>
      <w:r>
        <w:t xml:space="preserve">(2) Die Vollstreckung erfolgt nach den Vorschriften, die für Forderungen aus gleichen oder, in Ermangelung gleicher, aus vergleichbaren Steuern oder Abgaben vorgesehen sind. Ist das Verbindungsbüro der Auffassung, dass in Deutschland keine gleichen oder vergleichbaren Steuern oder Abgaben erhoben werden, so handelt die Vollstreckungsbehörde nach den Vorschriften, die für die Vollstreckung von Einkommensteuerforderungen gelten. Die Forderungen werden in Euro vollstreckt.</w:t>
      </w:r>
    </w:p>
    <w:p>
      <w:r>
        <w:t xml:space="preserve">(3) Das Verbindungsbüro teilt dem anderen Mitgliedstaat die Maßnahmen mit, die die Vollstreckungsbehörde in Bezug auf das Beitreibungsersuchen ergriffen hat.</w:t>
      </w:r>
    </w:p>
    <w:p>
      <w:r>
        <w:t xml:space="preserve">(4) § 240 der Abgabenordnung gilt entsprechend. Fälligkeitstag ist der Tag, an dem das Ersuchen bei einem Verbindungsbüro im Sinne des § 3 Absatz 1 eingeht, so dass Säumniszuschläge ab diesem Tag berechnet werden können. Wenn die Vollstreckungsbehörde dem Schuldner eine Zahlungsfrist einräumt oder Ratenzahlung gewährt, unterrichtet das Verbindungsbüro den anderen Mitgliedstaat hiervon.</w:t>
      </w:r>
    </w:p>
    <w:p>
      <w:r>
        <w:t xml:space="preserve">(5) Die Vollstreckungsbehörde überweist die im Zusammenhang mit der Forderung beigetriebenen Beträge sowie die Säumniszuschläge und gegebenenfalls entstehende Zinsen. Die in § 16 Absatz 1 genannten Kosten können vorher einbehalten werden.</w:t>
      </w:r>
    </w:p>
    <w:p>
      <w:r>
        <w:rPr>
          <w:color w:val="555555"/>
          <w:sz w:val="17"/>
        </w:rPr>
        <w:t xml:space="preserve">Zitiervorschlag: § 9 EUBeitrG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https://recht.nulegal.eu/gesetze/EUBeitrG/9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