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EUBeitrG — Anwendung anderer Abkommen zur Unterstützung bei der Beitreibung</w:t>
      </w:r>
    </w:p>
    <w:p>
      <w:r>
        <w:rPr>
          <w:color w:val="555555"/>
          <w:sz w:val="18"/>
        </w:rPr>
        <w:t xml:space="preserve">EU-Beitreibungsgesetz</w:t>
      </w:r>
    </w:p>
    <w:p>
      <w:r>
        <w:rPr>
          <w:color w:val="555555"/>
          <w:sz w:val="18"/>
        </w:rPr>
        <w:t xml:space="preserve">Stand: 10.06.2019 (konsolidierte Textfassung, kein amtliches Inkrafttretensdatum)</w:t>
      </w:r>
    </w:p>
    <w:p>
      <w:r>
        <w:t xml:space="preserve">(1) Dieses Gesetz gilt unbeschadet der Erfüllung von Verpflichtungen zur Leistung von Amtshilfe in größerem Umfang, die sich aus bilateralen oder multilateralen Übereinkünften oder Vereinbarungen ergeben. Das gilt auch für die Zustellung gerichtlicher oder sonstiger Dokumente.</w:t>
      </w:r>
    </w:p>
    <w:p>
      <w:r>
        <w:t xml:space="preserve">(2) Auch in diesen Fällen können das elektronische Kommunikationsnetz und die Standardformblätter im Sinne des § 19 genutzt werden.</w:t>
      </w:r>
    </w:p>
    <w:p>
      <w:r>
        <w:rPr>
          <w:color w:val="555555"/>
          <w:sz w:val="17"/>
        </w:rPr>
        <w:t xml:space="preserve">Zitiervorschlag: § 22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