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EUBeitrG — Begriffsbestimmungen</w:t>
      </w:r>
    </w:p>
    <w:p>
      <w:r>
        <w:rPr>
          <w:color w:val="555555"/>
          <w:sz w:val="18"/>
        </w:rPr>
        <w:t xml:space="preserve">EU-Beitreibungsgesetz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„Person“ ist</w:t>
      </w:r>
    </w:p>
    <w:p>
      <w:pPr>
        <w:ind w:left="420"/>
      </w:pPr>
      <w:r>
        <w:t xml:space="preserve">1. eine natürliche Person,</w:t>
      </w:r>
    </w:p>
    <w:p>
      <w:pPr>
        <w:ind w:left="420"/>
      </w:pPr>
      <w:r>
        <w:t xml:space="preserve">2. eine juristische Person,</w:t>
      </w:r>
    </w:p>
    <w:p>
      <w:pPr>
        <w:ind w:left="420"/>
      </w:pPr>
      <w:r>
        <w:t xml:space="preserve">3. eine Personenvereinigung, der die Rechtsfähigkeit zuerkannt wurde, die aber nicht über die Rechtsstellung einer juristischen Person verfügt, oder</w:t>
      </w:r>
    </w:p>
    <w:p>
      <w:pPr>
        <w:ind w:left="420"/>
      </w:pPr>
      <w:r>
        <w:t xml:space="preserve">4. jede andere Rechtsform gleich welcher Art, mit oder ohne allgemeine Rechtsfähigkeit, die Vermögensgegenstände besitzt oder verwaltet, welche einschließlich der daraus erzielten Einkünfte einer der in § 1 erfassten Steuern unterliegen.</w:t>
      </w:r>
    </w:p>
    <w:p>
      <w:r>
        <w:t xml:space="preserve">(2) Beitreibungsrichtlinie im Sinne dieses Gesetzes sowie des Einkommensteuergesetzes, des Körperschaftsteuergesetzes und des Gewerbesteuergesetzes bezeichnet die Richtlinie 2010/24/EU des Rates vom 16. März 2010 über die Amtshilfe bei der Beitreibung von Forderungen in Bezug auf bestimmte Steuern, Abgaben und sonstige Maßnahmen (ABl. L 84 vom 31.3.2010, S. 1) in der jeweils geltenden Fassung.</w:t>
      </w:r>
    </w:p>
    <w:p>
      <w:r>
        <w:rPr>
          <w:color w:val="555555"/>
          <w:sz w:val="17"/>
        </w:rPr>
        <w:t xml:space="preserve">Zitiervorschlag: § 2 EUBeitrG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https://recht.nulegal.eu/gesetze/EUBeitrG/2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