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EUBeitrG — Standardformblätter und Kommunikationsmittel</w:t>
      </w:r>
    </w:p>
    <w:p>
      <w:r>
        <w:rPr>
          <w:color w:val="555555"/>
          <w:sz w:val="18"/>
        </w:rPr>
        <w:t xml:space="preserve">EU-Beitreibungsgesetz</w:t>
      </w:r>
    </w:p>
    <w:p>
      <w:r>
        <w:rPr>
          <w:color w:val="555555"/>
          <w:sz w:val="18"/>
        </w:rPr>
        <w:t xml:space="preserve">Stand: 10.06.2019 (konsolidierte Textfassung, kein amtliches Inkrafttretensdatum)</w:t>
      </w:r>
    </w:p>
    <w:p>
      <w:r>
        <w:t xml:space="preserve">(1) Ersuchen um Auskünfte gemäß § 5 Absatz 1, um Zustellung gemäß § 7 Absatz 1 und § 8 Absatz 1, um Beitreibung gemäß § 9 Absatz 1 und § 10 Absatz 1 oder um Sicherungsmaßnahmen gemäß § 12 Absatz 1 und 3 werden jeweils mittels eines Standardformblatts auf elektronischem Weg übermittelt. Diese Formblätter werden, soweit möglich, auch für jede weitere Mitteilung im Zusammenhang mit dem Ersuchen verwendet.</w:t>
      </w:r>
    </w:p>
    <w:p>
      <w:r>
        <w:t xml:space="preserve">(2) Der einheitliche Vollstreckungstitel für die Vollstreckung im Mitgliedstaat der ersuchten Behörde und das Dokument für das Ergreifen von Sicherungsmaßnahmen im Mitgliedstaat der ersuchenden Behörde sowie die anderen in § 10 Absatz 3 und 4 sowie den §§ 12 bis 15 genannten Dokumente sind ebenfalls auf elektronischem Weg zu übermitteln.</w:t>
      </w:r>
    </w:p>
    <w:p>
      <w:r>
        <w:t xml:space="preserve">(3) Den Standardformblättern können gegebenenfalls Berichte, Bescheinigungen und andere Dokumente oder beglaubigte Kopien oder Auszüge daraus beigefügt werden, die ebenfalls auf elektronischem Weg zu übermitteln sind. Auch der Informationsaustausch gemäß § 6 hat auf Standardformblättern und in elektronischer Form zu erfolgen.</w:t>
      </w:r>
    </w:p>
    <w:p>
      <w:r>
        <w:t xml:space="preserve">(4) Die Absätze 1 bis 3 gelten nicht für Auskünfte und Unterlagen, die auf Grund der Anwesenheit in den Amtsräumen in einem anderen Mitgliedstaat oder auf Grund der Teilnahme an behördlichen Ermittlungen in einem anderen Mitgliedstaat gemäß § 18 erlangt werden.</w:t>
      </w:r>
    </w:p>
    <w:p>
      <w:r>
        <w:t xml:space="preserve">(5) Erfolgt die Übermittlung nicht auf elektronischem Weg oder auf Standardformblättern, so berührt dies nicht die Gültigkeit der erhaltenen Auskünfte oder der im Rahmen eines Ersuchens um Amtshilfe ergriffenen Maßnahmen.</w:t>
      </w:r>
    </w:p>
    <w:p>
      <w:r>
        <w:rPr>
          <w:color w:val="555555"/>
          <w:sz w:val="17"/>
        </w:rPr>
        <w:t xml:space="preserve">Zitiervorschlag: § 19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