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EUBeitrG — Kosten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Die Vollstreckungsbehörde bemüht sich bei den betreffenden Personen, neben den in § 9 Absatz 5 genannten Beträgen auch die ihr nach den §§ 337 bis 346 der Abgabenordnung entstandenen Kosten beizutreiben, und behält diese ein.</w:t>
      </w:r>
    </w:p>
    <w:p>
      <w:r>
        <w:t xml:space="preserve">(2) Deutschland verzichtet gegenüber dem ersuchenden Mitgliedstaat auf jegliche Erstattung der Kosten der Amtshilfe nach diesem Gesetz. In den Fällen, in denen die Beitreibung besondere Probleme bereitet, sehr hohe Kosten verursacht oder im Rahmen der Bekämpfung der organisierten Kriminalität erfolgt, kann das in § 3 Absatz 1 genannte Verbindungsbüro mit der entsprechenden Behörde des anderen Mitgliedstaates einzelfallbezogen eine Erstattung vereinbaren.</w:t>
      </w:r>
    </w:p>
    <w:p>
      <w:r>
        <w:t xml:space="preserve">(3) Deutschland haftet einem ersuchten Mitgliedstaat für alle Schäden aus Handlungen, die im Hinblick auf die tatsächliche Begründetheit der Forderung oder auf die Wirksamkeit des von der ersuchenden Behörde ausgestellten Vollstreckungstitels oder des Titels, der zur Ergreifung von Sicherungsmaßnahmen ermächtigt, für nicht angemessen befunden werden.</w:t>
      </w:r>
    </w:p>
    <w:p>
      <w:r>
        <w:rPr>
          <w:color w:val="555555"/>
          <w:sz w:val="17"/>
        </w:rPr>
        <w:t xml:space="preserve">Zitiervorschlag: § 16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