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EUBeitrG — Verjährung</w:t>
      </w:r>
    </w:p>
    <w:p>
      <w:r>
        <w:rPr>
          <w:color w:val="555555"/>
          <w:sz w:val="18"/>
        </w:rPr>
        <w:t xml:space="preserve">EU-Beitreibungsgesetz</w:t>
      </w:r>
    </w:p>
    <w:p>
      <w:r>
        <w:rPr>
          <w:color w:val="555555"/>
          <w:sz w:val="18"/>
        </w:rPr>
        <w:t xml:space="preserve">Stand: 10.06.2019 (konsolidierte Textfassung, kein amtliches Inkrafttretensdatum)</w:t>
      </w:r>
    </w:p>
    <w:p>
      <w:r>
        <w:t xml:space="preserve">(1) Für die Verjährung von Forderungen, hinsichtlich derer um Amtshilfe ersucht wird, sind die §§ 228 bis 232 der Abgabenordnung entsprechend anzuwenden.</w:t>
      </w:r>
    </w:p>
    <w:p>
      <w:r>
        <w:t xml:space="preserve">(2) Führt eine Behörde eines anderen Mitgliedstaates auf Grund eines deutschen Ersuchens Beitreibungsmaßnahmen durch oder lässt diese in ihrem Namen durchführen und bewirken die Beitreibungsmaßnahmen nach dem Recht dieses Mitgliedstaates eine Hemmung oder Unterbrechung der Verjährung oder Verlängerung der Verjährungsfrist, so gelten die Beitreibungsmaßnahmen im Hinblick auf die Hemmung oder Unterbrechung der Verjährung oder Verlängerung der Verjährungsfrist als Maßnahmen, die in Deutschland dieselbe Wirkung entfalten, sofern die §§ 228 bis 232 der Abgabenordnung die entsprechende Wirkung vorsehen.</w:t>
      </w:r>
    </w:p>
    <w:p>
      <w:r>
        <w:t xml:space="preserve">(3) Ist nach dem Recht des Mitgliedstaates der ersuchten Behörde die Hemmung oder Unterbrechung der Verjährung oder Verlängerung der Verjährungsfrist nicht zulässig, so gelten die Beitreibungsmaßnahmen als von Deutschland vorgenommen, sofern diese</w:t>
      </w:r>
    </w:p>
    <w:p>
      <w:pPr>
        <w:ind w:left="420"/>
      </w:pPr>
      <w:r>
        <w:t xml:space="preserve">1. die ersuchte Behörde durchgeführt hat oder in ihrem Namen hat durchführen lassen und</w:t>
      </w:r>
    </w:p>
    <w:p>
      <w:pPr>
        <w:ind w:left="420"/>
      </w:pPr>
      <w:r>
        <w:t xml:space="preserve">2. im Fall der Durchführung eine Hemmung oder Unterbrechung der Verjährung nach den §§ 230, 231 der Abgabenordnung bewirkt hätten.</w:t>
      </w:r>
    </w:p>
    <w:p>
      <w:r>
        <w:t xml:space="preserve">(4) Die nach § 231 der Abgabenordnung zulässigen rechtlichen Maßnahmen zur Unterbrechung der Verjährung bleiben unberührt.</w:t>
      </w:r>
    </w:p>
    <w:p>
      <w:r>
        <w:t xml:space="preserve">(5) Die Vollstreckungsbehörden teilen über das Verbindungsbüro dem anderen Mitgliedstaat jede Maßnahme mit, die die Verjährung der Forderung, hinsichtlich derer um Beitreibung oder Sicherungsmaßnahmen ersucht wurde, unterbricht oder hemmt.</w:t>
      </w:r>
    </w:p>
    <w:p>
      <w:r>
        <w:rPr>
          <w:color w:val="555555"/>
          <w:sz w:val="17"/>
        </w:rPr>
        <w:t xml:space="preserve">Zitiervorschlag: § 15 EUBeitrG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https://recht.nulegal.eu/gesetze/EUBeitrG/15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