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EUBeitrG — Ersuchen um Sicherungsmaßnahmen</w:t>
      </w:r>
    </w:p>
    <w:p>
      <w:r>
        <w:rPr>
          <w:color w:val="555555"/>
          <w:sz w:val="18"/>
        </w:rPr>
        <w:t xml:space="preserve">EU-Beitreibungsgesetz</w:t>
      </w:r>
    </w:p>
    <w:p>
      <w:r>
        <w:rPr>
          <w:color w:val="555555"/>
          <w:sz w:val="18"/>
        </w:rPr>
        <w:t xml:space="preserve">Stand: 10.06.2019 (konsolidierte Textfassung, kein amtliches Inkrafttretensdatum)</w:t>
      </w:r>
    </w:p>
    <w:p>
      <w:r>
        <w:t xml:space="preserve">(1) Um die Vollstreckung sicherzustellen, führt die Vollstreckungsbehörde auf Ersuchen des anderen Mitgliedstaates Sicherungsmaßnahmen durch, sofern und soweit diese nach dem Sechsten Teil der Abgabenordnung zulässig sind. Hierfür ist Voraussetzung, dass Sicherungsmaßnahmen sowohl des Mitgliedstaates der ersuchenden als auch der ersuchten deutschen Behörde in einer vergleichbaren Situation getroffen werden können.</w:t>
      </w:r>
    </w:p>
    <w:p>
      <w:r>
        <w:t xml:space="preserve">(2) Das Verbindungsbüro kann nach entsprechender Erstellung durch die Vollstreckungsbehörde ein Ersuchen um Sicherungsmaßnahmen stellen, wenn</w:t>
      </w:r>
    </w:p>
    <w:p>
      <w:pPr>
        <w:ind w:left="420"/>
      </w:pPr>
      <w:r>
        <w:t xml:space="preserve">1. die Forderung oder der Vollstreckungstitel zum Zeitpunkt der Stellung des Ersuchens angefochten ist oder</w:t>
      </w:r>
    </w:p>
    <w:p>
      <w:pPr>
        <w:ind w:left="420"/>
      </w:pPr>
      <w:r>
        <w:t xml:space="preserve">2. ein Ersuchen um Beitreibung aus anderen Gründen noch nicht gestellt werden kann.</w:t>
      </w:r>
    </w:p>
    <w:p>
      <w:r>
        <w:t xml:space="preserve">(3) Einem ausgehenden Ersuchen um Sicherungsmaßnahmen ist das Dokument, das in Deutschland Sicherungsmaßnahmen in Bezug auf die Forderung ermöglicht, beizufügen. Dem Ersuchen können weitere in Deutschland ausgestellte Dokumente beigefügt werden.</w:t>
      </w:r>
    </w:p>
    <w:p>
      <w:r>
        <w:t xml:space="preserve">(4) § 9 Absatz 1 bis 3, § 10 Absatz 4 sowie die §§ 11 und 13 gelten entsprechend.</w:t>
      </w:r>
    </w:p>
    <w:p>
      <w:r>
        <w:rPr>
          <w:color w:val="555555"/>
          <w:sz w:val="17"/>
        </w:rPr>
        <w:t xml:space="preserve">Zitiervorschlag: § 12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