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EUBeitrG — Änderung oder Rücknahme des Beitreibungsersuchens</w:t>
      </w:r>
    </w:p>
    <w:p>
      <w:r>
        <w:rPr>
          <w:color w:val="555555"/>
          <w:sz w:val="18"/>
        </w:rPr>
        <w:t xml:space="preserve">EU-Beitreibungsgesetz</w:t>
      </w:r>
    </w:p>
    <w:p>
      <w:r>
        <w:rPr>
          <w:color w:val="555555"/>
          <w:sz w:val="18"/>
        </w:rPr>
        <w:t xml:space="preserve">Stand: 10.06.2019 (konsolidierte Textfassung, kein amtliches Inkrafttretensdatum)</w:t>
      </w:r>
    </w:p>
    <w:p>
      <w:r>
        <w:t xml:space="preserve">(1) Das Verbindungsbüro teilt unverzüglich nach entsprechender Erstellung durch die Vollstreckungsbehörde dem anderen Mitgliedstaat jede Änderung oder Rücknahme ihres Beitreibungsersuchens mit. Dabei sind die Gründe für die Änderung oder Rücknahme anzugeben. Bei Änderungen übersendet sie zusätzlich eine entsprechend geänderte Fassung des einheitlichen Vollstreckungstitels.</w:t>
      </w:r>
    </w:p>
    <w:p>
      <w:r>
        <w:t xml:space="preserve">(2) Geht die Änderung oder Rücknahme des Ersuchens auf eine Rechtsbehelfsentscheidung gemäß § 13 Absatz 1 zurück, so teilt die Vollstreckungsbehörde diese Entscheidung dem Verbindungsbüro mit. Bei Änderungen übersendet sie zusätzlich eine entsprechend geänderte Fassung des einheitlichen Vollstreckungstitels. Das Verbindungsbüro sendet die Unterlagen an die ersuchte Behörde.</w:t>
      </w:r>
    </w:p>
    <w:p>
      <w:r>
        <w:t xml:space="preserve">(3) Wird ein gemäß § 13 Absatz 1 geänderter einheitlicher Vollstreckungstitel an ein Verbindungsbüro als ersuchte Behörde übermittelt, ergreift die mit der Durchführung der Amtshilfe beauftragte Vollstreckungsbehörde weitere Beitreibungsmaßnahmen auf der Grundlage dieses Vollstreckungstitels.</w:t>
      </w:r>
    </w:p>
    <w:p>
      <w:r>
        <w:t xml:space="preserve">(4) Beitreibungs- und Sicherungsmaßnahmen, die bereits auf der Grundlage des ursprünglichen einheitlichen Vollstreckungstitels ergriffen wurden, können auf Grund des geänderten einheitlichen Vollstreckungstitels fortgeführt werden, sofern die Änderung des Ersuchens nicht darauf zurückzuführen ist, dass der ursprüngliche Vollstreckungstitel oder der ursprüngliche einheitliche Vollstreckungstitel unwirksam ist.</w:t>
      </w:r>
    </w:p>
    <w:p>
      <w:r>
        <w:t xml:space="preserve">(5) Für die neue Fassung des Vollstreckungstitels gelten § 10 Absatz 3 und 4 sowie § 13 entsprechend.</w:t>
      </w:r>
    </w:p>
    <w:p>
      <w:r>
        <w:rPr>
          <w:color w:val="555555"/>
          <w:sz w:val="17"/>
        </w:rPr>
        <w:t xml:space="preserve">Zitiervorschlag: § 11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